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F2CCE4F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106DA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12B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5F2CCE4F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106DA4">
                        <w:rPr>
                          <w:rFonts w:cstheme="minorHAnsi"/>
                          <w:b/>
                          <w:color w:val="000000" w:themeColor="text1"/>
                        </w:rPr>
                        <w:t>12B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53A56EA7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 xml:space="preserve">OMPRA </w:t>
      </w:r>
      <w:r w:rsidR="00106DA4">
        <w:rPr>
          <w:rFonts w:ascii="Arial" w:hAnsi="Arial" w:cs="Arial"/>
          <w:b/>
          <w:sz w:val="20"/>
          <w:szCs w:val="20"/>
        </w:rPr>
        <w:t>DE SUMINISTROS HOSPITALARIOS</w:t>
      </w:r>
      <w:bookmarkEnd w:id="0"/>
    </w:p>
    <w:p w14:paraId="03F7367A" w14:textId="57035C2C" w:rsidR="001A6BA1" w:rsidRPr="00B60304" w:rsidRDefault="00106DA4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SEGUNDA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1D357D5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1009FC">
        <w:rPr>
          <w:rFonts w:ascii="Arial" w:hAnsi="Arial" w:cs="Arial"/>
          <w:b/>
          <w:sz w:val="20"/>
          <w:szCs w:val="20"/>
        </w:rPr>
        <w:t xml:space="preserve">COMPRA </w:t>
      </w:r>
      <w:r w:rsidR="00106DA4">
        <w:rPr>
          <w:rFonts w:ascii="Arial" w:hAnsi="Arial" w:cs="Arial"/>
          <w:b/>
          <w:sz w:val="20"/>
          <w:szCs w:val="20"/>
        </w:rPr>
        <w:t xml:space="preserve">DE SUMINISTROS HOSPITALARIOS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106DA4">
        <w:rPr>
          <w:rFonts w:ascii="Arial" w:hAnsi="Arial" w:cs="Arial"/>
          <w:b/>
          <w:bCs/>
          <w:sz w:val="20"/>
        </w:rPr>
        <w:t xml:space="preserve">SEGUNDA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3AE84FC2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106DA4">
        <w:rPr>
          <w:rFonts w:ascii="Arial" w:hAnsi="Arial" w:cs="Arial"/>
          <w:b/>
          <w:bCs/>
          <w:sz w:val="20"/>
          <w:szCs w:val="20"/>
        </w:rPr>
        <w:t>lunes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2</w:t>
      </w:r>
      <w:r w:rsidR="00106DA4">
        <w:rPr>
          <w:rFonts w:ascii="Arial" w:hAnsi="Arial" w:cs="Arial"/>
          <w:b/>
          <w:bCs/>
          <w:sz w:val="20"/>
          <w:szCs w:val="20"/>
        </w:rPr>
        <w:t>9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C402A0">
        <w:rPr>
          <w:rFonts w:ascii="Arial" w:hAnsi="Arial" w:cs="Arial"/>
          <w:b/>
          <w:bCs/>
          <w:sz w:val="20"/>
          <w:szCs w:val="20"/>
        </w:rPr>
        <w:t>abril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3968FF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292FC78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90733A2" w14:textId="77777777" w:rsidR="009B52E4" w:rsidRPr="009B52E4" w:rsidRDefault="009B52E4" w:rsidP="003968FF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011AAEB9" w:rsidR="003968FF" w:rsidRDefault="00F06892" w:rsidP="00106DA4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debe ser</w:t>
      </w:r>
      <w:r w:rsidR="00106DA4">
        <w:rPr>
          <w:rFonts w:ascii="Arial" w:hAnsi="Arial" w:cs="Arial"/>
          <w:sz w:val="20"/>
          <w:szCs w:val="20"/>
        </w:rPr>
        <w:t xml:space="preserve"> </w:t>
      </w:r>
      <w:r w:rsidR="005F5967">
        <w:rPr>
          <w:rFonts w:ascii="Arial" w:hAnsi="Arial" w:cs="Arial"/>
          <w:sz w:val="20"/>
          <w:szCs w:val="20"/>
        </w:rPr>
        <w:t xml:space="preserve">de 15 días hábiles </w:t>
      </w:r>
      <w:r w:rsidR="00106DA4">
        <w:rPr>
          <w:rFonts w:ascii="Arial" w:hAnsi="Arial" w:cs="Arial"/>
          <w:sz w:val="20"/>
          <w:szCs w:val="20"/>
        </w:rPr>
        <w:t>desde la</w:t>
      </w:r>
      <w:r w:rsidRPr="00F06892">
        <w:rPr>
          <w:rFonts w:ascii="Arial" w:hAnsi="Arial" w:cs="Arial"/>
          <w:sz w:val="20"/>
          <w:szCs w:val="20"/>
        </w:rPr>
        <w:t xml:space="preserve"> </w:t>
      </w:r>
      <w:r w:rsidR="00106DA4">
        <w:rPr>
          <w:rFonts w:ascii="Arial" w:hAnsi="Arial" w:cs="Arial"/>
          <w:sz w:val="20"/>
          <w:szCs w:val="20"/>
        </w:rPr>
        <w:t>emisión de</w:t>
      </w:r>
      <w:r w:rsidRPr="00F06892">
        <w:rPr>
          <w:rFonts w:ascii="Arial" w:hAnsi="Arial" w:cs="Arial"/>
          <w:sz w:val="20"/>
          <w:szCs w:val="20"/>
        </w:rPr>
        <w:t xml:space="preserve"> Orden de Compra</w:t>
      </w:r>
      <w:r w:rsidR="001009FC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P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4884572" w:rsidR="00402D1D" w:rsidRPr="00E353C9" w:rsidRDefault="00402D1D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E353C9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y Publicación </w:t>
            </w:r>
            <w:r w:rsidRPr="00E353C9">
              <w:rPr>
                <w:rFonts w:ascii="Arial" w:hAnsi="Arial" w:cs="Arial"/>
                <w:sz w:val="20"/>
                <w:szCs w:val="20"/>
              </w:rPr>
              <w:lastRenderedPageBreak/>
              <w:t>de la convocatoria en la Web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11C01910" w:rsidR="0084268D" w:rsidRPr="00D62E66" w:rsidRDefault="00106DA4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EF27C9">
              <w:rPr>
                <w:rFonts w:ascii="Arial" w:hAnsi="Arial" w:cs="Arial"/>
                <w:sz w:val="20"/>
                <w:szCs w:val="20"/>
              </w:rPr>
              <w:t>3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/04/2024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4B096E4C" w:rsidR="00E353C9" w:rsidRPr="00E353C9" w:rsidRDefault="001009FC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06DA4"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/04/2024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302B70E6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1009F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68D" w:rsidRPr="009B52E4" w14:paraId="031C0F54" w14:textId="77777777" w:rsidTr="00E353C9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7587636A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0BA7D6B2" w:rsidR="0084268D" w:rsidRPr="00E353C9" w:rsidRDefault="00106DA4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353C9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 w:rsidR="001009FC"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6A368E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7D6156E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E353C9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>l</w:t>
      </w:r>
      <w:r w:rsidR="00485AF9" w:rsidRPr="00E353C9">
        <w:rPr>
          <w:rFonts w:ascii="Arial" w:hAnsi="Arial" w:cs="Arial"/>
          <w:sz w:val="20"/>
          <w:szCs w:val="20"/>
        </w:rPr>
        <w:t>a</w:t>
      </w:r>
      <w:r w:rsidR="00F37611" w:rsidRPr="00E353C9">
        <w:rPr>
          <w:rFonts w:ascii="Arial" w:hAnsi="Arial" w:cs="Arial"/>
          <w:sz w:val="20"/>
          <w:szCs w:val="20"/>
        </w:rPr>
        <w:t xml:space="preserve"> </w:t>
      </w:r>
      <w:r w:rsidR="00485AF9" w:rsidRPr="00E353C9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F97FC0B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06DA4">
        <w:rPr>
          <w:rFonts w:ascii="Arial" w:hAnsi="Arial" w:cs="Arial"/>
          <w:sz w:val="20"/>
          <w:szCs w:val="20"/>
        </w:rPr>
        <w:t>22</w:t>
      </w:r>
      <w:r w:rsidR="007150F3" w:rsidRPr="00D62E66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abril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B47181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B164" w14:textId="77777777" w:rsidR="00B47181" w:rsidRDefault="00B47181" w:rsidP="003518DA">
      <w:r>
        <w:separator/>
      </w:r>
    </w:p>
  </w:endnote>
  <w:endnote w:type="continuationSeparator" w:id="0">
    <w:p w14:paraId="1272C359" w14:textId="77777777" w:rsidR="00B47181" w:rsidRDefault="00B4718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08B1" w14:textId="77777777" w:rsidR="00B47181" w:rsidRDefault="00B47181" w:rsidP="003518DA">
      <w:r>
        <w:separator/>
      </w:r>
    </w:p>
  </w:footnote>
  <w:footnote w:type="continuationSeparator" w:id="0">
    <w:p w14:paraId="190CEAA7" w14:textId="77777777" w:rsidR="00B47181" w:rsidRDefault="00B4718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C5C0F9CA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5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3"/>
  </w:num>
  <w:num w:numId="2" w16cid:durableId="1494835156">
    <w:abstractNumId w:val="6"/>
  </w:num>
  <w:num w:numId="3" w16cid:durableId="984238808">
    <w:abstractNumId w:val="2"/>
  </w:num>
  <w:num w:numId="4" w16cid:durableId="1781099808">
    <w:abstractNumId w:val="8"/>
  </w:num>
  <w:num w:numId="5" w16cid:durableId="274218337">
    <w:abstractNumId w:val="0"/>
  </w:num>
  <w:num w:numId="6" w16cid:durableId="1982929461">
    <w:abstractNumId w:val="5"/>
  </w:num>
  <w:num w:numId="7" w16cid:durableId="681738088">
    <w:abstractNumId w:val="1"/>
  </w:num>
  <w:num w:numId="8" w16cid:durableId="2141146509">
    <w:abstractNumId w:val="7"/>
  </w:num>
  <w:num w:numId="9" w16cid:durableId="1346832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1009FC"/>
    <w:rsid w:val="00106DA4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968FF"/>
    <w:rsid w:val="003A31D4"/>
    <w:rsid w:val="003C30DD"/>
    <w:rsid w:val="003C51FE"/>
    <w:rsid w:val="003D5BBE"/>
    <w:rsid w:val="003E5C5A"/>
    <w:rsid w:val="003F161B"/>
    <w:rsid w:val="003F6B61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F05A0"/>
    <w:rsid w:val="004F0C84"/>
    <w:rsid w:val="00546C8C"/>
    <w:rsid w:val="00564C61"/>
    <w:rsid w:val="005651B6"/>
    <w:rsid w:val="005773A2"/>
    <w:rsid w:val="005A126E"/>
    <w:rsid w:val="005B0F53"/>
    <w:rsid w:val="005C0F70"/>
    <w:rsid w:val="005C2BE5"/>
    <w:rsid w:val="005C77EE"/>
    <w:rsid w:val="005F5967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3D1A"/>
    <w:rsid w:val="0075769D"/>
    <w:rsid w:val="00763F09"/>
    <w:rsid w:val="00784F87"/>
    <w:rsid w:val="007A305F"/>
    <w:rsid w:val="007B0812"/>
    <w:rsid w:val="007D17B9"/>
    <w:rsid w:val="007F021C"/>
    <w:rsid w:val="0084268D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54FE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AF7DEE"/>
    <w:rsid w:val="00B00161"/>
    <w:rsid w:val="00B02443"/>
    <w:rsid w:val="00B11C96"/>
    <w:rsid w:val="00B42169"/>
    <w:rsid w:val="00B46AB9"/>
    <w:rsid w:val="00B47181"/>
    <w:rsid w:val="00B55275"/>
    <w:rsid w:val="00B60304"/>
    <w:rsid w:val="00B7653D"/>
    <w:rsid w:val="00BA1683"/>
    <w:rsid w:val="00BB0720"/>
    <w:rsid w:val="00BC66DF"/>
    <w:rsid w:val="00BF75D3"/>
    <w:rsid w:val="00C1197E"/>
    <w:rsid w:val="00C17C49"/>
    <w:rsid w:val="00C402A0"/>
    <w:rsid w:val="00C50F2F"/>
    <w:rsid w:val="00C605D2"/>
    <w:rsid w:val="00C733E7"/>
    <w:rsid w:val="00C76735"/>
    <w:rsid w:val="00CA1C1C"/>
    <w:rsid w:val="00CA7415"/>
    <w:rsid w:val="00CC2B37"/>
    <w:rsid w:val="00CD056D"/>
    <w:rsid w:val="00CE2C6D"/>
    <w:rsid w:val="00CF18CB"/>
    <w:rsid w:val="00D44D4B"/>
    <w:rsid w:val="00D6079F"/>
    <w:rsid w:val="00D62E66"/>
    <w:rsid w:val="00D66344"/>
    <w:rsid w:val="00D720DA"/>
    <w:rsid w:val="00D75B13"/>
    <w:rsid w:val="00D93C84"/>
    <w:rsid w:val="00DE203C"/>
    <w:rsid w:val="00DE360B"/>
    <w:rsid w:val="00DF1946"/>
    <w:rsid w:val="00E02C76"/>
    <w:rsid w:val="00E034DB"/>
    <w:rsid w:val="00E12A46"/>
    <w:rsid w:val="00E353C9"/>
    <w:rsid w:val="00E36382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27C9"/>
    <w:rsid w:val="00EF5B58"/>
    <w:rsid w:val="00F06892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12</cp:revision>
  <cp:lastPrinted>2023-02-16T20:01:00Z</cp:lastPrinted>
  <dcterms:created xsi:type="dcterms:W3CDTF">2024-04-01T18:15:00Z</dcterms:created>
  <dcterms:modified xsi:type="dcterms:W3CDTF">2024-04-23T14:48:00Z</dcterms:modified>
</cp:coreProperties>
</file>