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821" w:rsidRPr="00B71698" w:rsidRDefault="002B0821" w:rsidP="002B0821">
      <w:pPr>
        <w:autoSpaceDE w:val="0"/>
        <w:autoSpaceDN w:val="0"/>
        <w:adjustRightInd w:val="0"/>
        <w:jc w:val="center"/>
        <w:rPr>
          <w:rFonts w:ascii="Arial" w:hAnsi="Arial" w:cs="Arial"/>
          <w:b/>
          <w:sz w:val="20"/>
          <w:szCs w:val="20"/>
        </w:rPr>
      </w:pPr>
      <w:r w:rsidRPr="00B71698">
        <w:rPr>
          <w:rFonts w:ascii="Arial" w:hAnsi="Arial" w:cs="Arial"/>
          <w:b/>
          <w:sz w:val="20"/>
          <w:szCs w:val="20"/>
        </w:rPr>
        <w:t>TÉR</w:t>
      </w:r>
      <w:bookmarkStart w:id="0" w:name="_GoBack"/>
      <w:bookmarkEnd w:id="0"/>
      <w:r w:rsidRPr="00B71698">
        <w:rPr>
          <w:rFonts w:ascii="Arial" w:hAnsi="Arial" w:cs="Arial"/>
          <w:b/>
          <w:sz w:val="20"/>
          <w:szCs w:val="20"/>
        </w:rPr>
        <w:t>MINOS DE REFERENCIA</w:t>
      </w:r>
    </w:p>
    <w:p w:rsidR="002B0821" w:rsidRPr="00E257A5" w:rsidRDefault="002B0821" w:rsidP="002B0821">
      <w:pPr>
        <w:numPr>
          <w:ilvl w:val="1"/>
          <w:numId w:val="18"/>
        </w:numPr>
        <w:tabs>
          <w:tab w:val="num" w:pos="426"/>
        </w:tabs>
        <w:spacing w:after="0" w:line="240" w:lineRule="auto"/>
        <w:ind w:left="284" w:hanging="284"/>
        <w:jc w:val="both"/>
        <w:rPr>
          <w:rFonts w:ascii="Arial" w:hAnsi="Arial" w:cs="Arial"/>
          <w:b/>
          <w:bCs/>
          <w:sz w:val="20"/>
          <w:szCs w:val="20"/>
        </w:rPr>
      </w:pPr>
      <w:r w:rsidRPr="00E257A5">
        <w:rPr>
          <w:rFonts w:ascii="Arial" w:hAnsi="Arial" w:cs="Arial"/>
          <w:b/>
          <w:bCs/>
          <w:sz w:val="20"/>
          <w:szCs w:val="20"/>
        </w:rPr>
        <w:t>OBJETIVO DEL SERVICIO</w:t>
      </w:r>
    </w:p>
    <w:p w:rsidR="002B0821" w:rsidRPr="00E257A5" w:rsidRDefault="002B0821" w:rsidP="002B0821">
      <w:pPr>
        <w:tabs>
          <w:tab w:val="num" w:pos="1440"/>
        </w:tabs>
        <w:spacing w:after="0" w:line="240" w:lineRule="auto"/>
        <w:ind w:left="284"/>
        <w:jc w:val="both"/>
        <w:rPr>
          <w:rFonts w:ascii="Arial" w:hAnsi="Arial" w:cs="Arial"/>
          <w:b/>
          <w:bCs/>
          <w:sz w:val="20"/>
          <w:szCs w:val="20"/>
        </w:rPr>
      </w:pPr>
    </w:p>
    <w:p w:rsidR="002B0821" w:rsidRPr="00E257A5" w:rsidRDefault="002B0821" w:rsidP="002B0821">
      <w:pPr>
        <w:pStyle w:val="Sangra2detindependiente"/>
        <w:spacing w:after="0" w:line="240" w:lineRule="auto"/>
        <w:ind w:left="426"/>
        <w:jc w:val="both"/>
        <w:rPr>
          <w:rFonts w:ascii="Arial" w:hAnsi="Arial" w:cs="Arial"/>
          <w:sz w:val="20"/>
          <w:szCs w:val="20"/>
        </w:rPr>
      </w:pPr>
      <w:r w:rsidRPr="00E257A5">
        <w:rPr>
          <w:rFonts w:ascii="Arial" w:hAnsi="Arial" w:cs="Arial"/>
          <w:sz w:val="20"/>
          <w:szCs w:val="20"/>
        </w:rPr>
        <w:t xml:space="preserve">La realización de la Auditoría </w:t>
      </w:r>
      <w:r>
        <w:rPr>
          <w:rFonts w:ascii="Arial" w:hAnsi="Arial" w:cs="Arial"/>
          <w:sz w:val="20"/>
          <w:szCs w:val="20"/>
        </w:rPr>
        <w:t xml:space="preserve">Financiera </w:t>
      </w:r>
      <w:r w:rsidRPr="00E257A5">
        <w:rPr>
          <w:rFonts w:ascii="Arial" w:hAnsi="Arial" w:cs="Arial"/>
          <w:sz w:val="20"/>
          <w:szCs w:val="20"/>
        </w:rPr>
        <w:t xml:space="preserve">Externa tiene el propósito de obtener opinión independiente respecto a </w:t>
      </w:r>
      <w:r>
        <w:rPr>
          <w:rFonts w:ascii="Arial" w:hAnsi="Arial" w:cs="Arial"/>
          <w:sz w:val="20"/>
          <w:szCs w:val="20"/>
        </w:rPr>
        <w:t xml:space="preserve">la </w:t>
      </w:r>
      <w:r w:rsidRPr="00E257A5">
        <w:rPr>
          <w:rFonts w:ascii="Arial" w:hAnsi="Arial" w:cs="Arial"/>
          <w:sz w:val="20"/>
          <w:szCs w:val="20"/>
        </w:rPr>
        <w:t>Auditoría Financiera</w:t>
      </w:r>
      <w:r>
        <w:rPr>
          <w:rFonts w:ascii="Arial" w:hAnsi="Arial" w:cs="Arial"/>
          <w:sz w:val="20"/>
          <w:szCs w:val="20"/>
        </w:rPr>
        <w:t xml:space="preserve"> del</w:t>
      </w:r>
      <w:r w:rsidRPr="00E257A5">
        <w:rPr>
          <w:rFonts w:ascii="Arial" w:hAnsi="Arial" w:cs="Arial"/>
          <w:sz w:val="20"/>
          <w:szCs w:val="20"/>
        </w:rPr>
        <w:t xml:space="preserve"> Proyecto</w:t>
      </w:r>
      <w:r>
        <w:rPr>
          <w:rFonts w:ascii="Arial" w:hAnsi="Arial" w:cs="Arial"/>
          <w:sz w:val="20"/>
          <w:szCs w:val="20"/>
        </w:rPr>
        <w:t xml:space="preserve"> de</w:t>
      </w:r>
      <w:r w:rsidRPr="00E257A5">
        <w:rPr>
          <w:rFonts w:ascii="Arial" w:hAnsi="Arial" w:cs="Arial"/>
          <w:sz w:val="20"/>
          <w:szCs w:val="20"/>
        </w:rPr>
        <w:t xml:space="preserve"> Seguro Gratuito de Enfermedad común y Maternidad  (SGEM), considerando las normativas específicas y generales vigentes para la institución, la situación financiera, los resultados de sus operaciones, los flujos de efectivo, la evolución del patrimonio neto, la ejecución presupuestaria de ingresos, ejecución presupuestaria de gastos, por el ejercicio terminado de </w:t>
      </w:r>
      <w:r>
        <w:rPr>
          <w:rFonts w:ascii="Arial" w:hAnsi="Arial" w:cs="Arial"/>
          <w:sz w:val="20"/>
          <w:szCs w:val="20"/>
        </w:rPr>
        <w:t>la gestión 2020</w:t>
      </w:r>
      <w:r w:rsidRPr="00E257A5">
        <w:rPr>
          <w:rFonts w:ascii="Arial" w:hAnsi="Arial" w:cs="Arial"/>
          <w:sz w:val="20"/>
          <w:szCs w:val="20"/>
        </w:rPr>
        <w:t>.</w:t>
      </w:r>
    </w:p>
    <w:p w:rsidR="002B0821" w:rsidRPr="00E257A5" w:rsidRDefault="002B0821" w:rsidP="002B0821">
      <w:pPr>
        <w:pStyle w:val="Sangra2detindependiente"/>
        <w:spacing w:after="0" w:line="240" w:lineRule="auto"/>
        <w:ind w:left="426"/>
        <w:jc w:val="both"/>
        <w:rPr>
          <w:rFonts w:ascii="Arial" w:hAnsi="Arial" w:cs="Arial"/>
          <w:sz w:val="20"/>
          <w:szCs w:val="20"/>
        </w:rPr>
      </w:pPr>
    </w:p>
    <w:p w:rsidR="002B0821" w:rsidRPr="00E257A5" w:rsidRDefault="002B0821" w:rsidP="002B0821">
      <w:pPr>
        <w:ind w:left="426"/>
        <w:jc w:val="both"/>
        <w:rPr>
          <w:rFonts w:ascii="Arial" w:hAnsi="Arial" w:cs="Arial"/>
          <w:sz w:val="20"/>
          <w:szCs w:val="20"/>
        </w:rPr>
      </w:pPr>
      <w:r w:rsidRPr="00E257A5">
        <w:rPr>
          <w:rFonts w:ascii="Arial" w:hAnsi="Arial" w:cs="Arial"/>
          <w:sz w:val="20"/>
          <w:szCs w:val="20"/>
        </w:rPr>
        <w:t xml:space="preserve">Por otra parte, la evaluación debe enfatizar en alto grado el examen de los procedimientos administrativos - contables y especialmente del sistema de control interno establecido en la CSBP </w:t>
      </w:r>
    </w:p>
    <w:p w:rsidR="002B0821" w:rsidRPr="00E257A5" w:rsidRDefault="002B0821" w:rsidP="002B0821">
      <w:pPr>
        <w:numPr>
          <w:ilvl w:val="1"/>
          <w:numId w:val="18"/>
        </w:numPr>
        <w:tabs>
          <w:tab w:val="num" w:pos="426"/>
        </w:tabs>
        <w:spacing w:after="0" w:line="240" w:lineRule="auto"/>
        <w:ind w:left="426" w:hanging="426"/>
        <w:jc w:val="both"/>
        <w:rPr>
          <w:rFonts w:ascii="Arial" w:hAnsi="Arial" w:cs="Arial"/>
          <w:b/>
          <w:sz w:val="20"/>
          <w:szCs w:val="20"/>
        </w:rPr>
      </w:pPr>
      <w:r w:rsidRPr="00E257A5">
        <w:rPr>
          <w:rFonts w:ascii="Arial" w:hAnsi="Arial" w:cs="Arial"/>
          <w:b/>
          <w:sz w:val="20"/>
          <w:szCs w:val="20"/>
        </w:rPr>
        <w:t>LOCALIZACIÓN E INFORMACIÓN DISPONIBLE</w:t>
      </w:r>
    </w:p>
    <w:p w:rsidR="002B0821" w:rsidRPr="00E257A5" w:rsidRDefault="002B0821" w:rsidP="002B0821">
      <w:pPr>
        <w:tabs>
          <w:tab w:val="num" w:pos="1440"/>
        </w:tabs>
        <w:spacing w:after="0" w:line="240" w:lineRule="auto"/>
        <w:ind w:left="426"/>
        <w:jc w:val="both"/>
        <w:rPr>
          <w:rFonts w:ascii="Arial" w:hAnsi="Arial" w:cs="Arial"/>
          <w:b/>
          <w:sz w:val="20"/>
          <w:szCs w:val="20"/>
        </w:rPr>
      </w:pPr>
    </w:p>
    <w:p w:rsidR="002B0821" w:rsidRDefault="002B0821" w:rsidP="002B0821">
      <w:pPr>
        <w:ind w:left="426"/>
        <w:jc w:val="both"/>
        <w:rPr>
          <w:rFonts w:ascii="Arial" w:hAnsi="Arial" w:cs="Arial"/>
          <w:sz w:val="20"/>
          <w:szCs w:val="20"/>
        </w:rPr>
      </w:pPr>
      <w:r w:rsidRPr="00E257A5">
        <w:rPr>
          <w:rFonts w:ascii="Arial" w:hAnsi="Arial" w:cs="Arial"/>
          <w:sz w:val="20"/>
          <w:szCs w:val="20"/>
        </w:rPr>
        <w:t xml:space="preserve">La auditoría </w:t>
      </w:r>
      <w:r>
        <w:rPr>
          <w:rFonts w:ascii="Arial" w:hAnsi="Arial" w:cs="Arial"/>
          <w:bCs/>
          <w:iCs/>
          <w:sz w:val="20"/>
          <w:szCs w:val="20"/>
        </w:rPr>
        <w:t xml:space="preserve">Financiera al </w:t>
      </w:r>
      <w:r w:rsidRPr="00117D08">
        <w:rPr>
          <w:rFonts w:ascii="Arial" w:hAnsi="Arial" w:cs="Arial"/>
          <w:bCs/>
          <w:iCs/>
          <w:sz w:val="20"/>
          <w:szCs w:val="20"/>
        </w:rPr>
        <w:t xml:space="preserve">Proyecto Seguro Gratuito de Enfermedad común y Maternidad (SGEM) debe necesariamente ejecutarse en Oficinas administrativas </w:t>
      </w:r>
      <w:r>
        <w:rPr>
          <w:rFonts w:ascii="Arial" w:hAnsi="Arial" w:cs="Arial"/>
          <w:bCs/>
          <w:iCs/>
          <w:sz w:val="20"/>
          <w:szCs w:val="20"/>
        </w:rPr>
        <w:t xml:space="preserve">de la CSBP </w:t>
      </w:r>
      <w:r w:rsidRPr="00117D08">
        <w:rPr>
          <w:rFonts w:ascii="Arial" w:hAnsi="Arial" w:cs="Arial"/>
          <w:bCs/>
          <w:iCs/>
          <w:sz w:val="20"/>
          <w:szCs w:val="20"/>
        </w:rPr>
        <w:t xml:space="preserve">de El Alto y sus </w:t>
      </w:r>
      <w:r>
        <w:rPr>
          <w:rFonts w:ascii="Arial" w:hAnsi="Arial" w:cs="Arial"/>
          <w:bCs/>
          <w:iCs/>
          <w:sz w:val="20"/>
          <w:szCs w:val="20"/>
        </w:rPr>
        <w:t xml:space="preserve">7 centros de Salud </w:t>
      </w:r>
      <w:r w:rsidRPr="00E257A5">
        <w:rPr>
          <w:rFonts w:ascii="Arial" w:hAnsi="Arial" w:cs="Arial"/>
          <w:sz w:val="20"/>
          <w:szCs w:val="20"/>
        </w:rPr>
        <w:t>de la Diócesis de El Alto que suscriben el Convenio</w:t>
      </w:r>
      <w:r>
        <w:rPr>
          <w:rFonts w:ascii="Arial" w:hAnsi="Arial" w:cs="Arial"/>
          <w:sz w:val="20"/>
          <w:szCs w:val="20"/>
        </w:rPr>
        <w:t>:</w:t>
      </w:r>
    </w:p>
    <w:p w:rsidR="002B0821" w:rsidRDefault="002B0821" w:rsidP="002B0821">
      <w:pPr>
        <w:pStyle w:val="Textoindependiente"/>
        <w:numPr>
          <w:ilvl w:val="0"/>
          <w:numId w:val="25"/>
        </w:numPr>
        <w:spacing w:after="0" w:line="240" w:lineRule="auto"/>
        <w:jc w:val="both"/>
        <w:rPr>
          <w:rFonts w:ascii="Arial" w:hAnsi="Arial" w:cs="Arial"/>
          <w:bCs/>
          <w:iCs/>
          <w:sz w:val="20"/>
          <w:szCs w:val="20"/>
        </w:rPr>
      </w:pPr>
      <w:r>
        <w:rPr>
          <w:rFonts w:ascii="Arial" w:hAnsi="Arial" w:cs="Arial"/>
          <w:bCs/>
          <w:iCs/>
          <w:sz w:val="20"/>
          <w:szCs w:val="20"/>
        </w:rPr>
        <w:t>Primer Nivel de Atención:</w:t>
      </w:r>
    </w:p>
    <w:p w:rsidR="002B0821" w:rsidRDefault="002B0821" w:rsidP="002B0821">
      <w:pPr>
        <w:pStyle w:val="Textoindependiente"/>
        <w:spacing w:after="0" w:line="240" w:lineRule="auto"/>
        <w:ind w:left="1571"/>
        <w:jc w:val="both"/>
        <w:rPr>
          <w:rFonts w:ascii="Arial" w:hAnsi="Arial" w:cs="Arial"/>
          <w:sz w:val="20"/>
          <w:szCs w:val="20"/>
          <w:lang w:val="es-ES"/>
        </w:rPr>
      </w:pPr>
    </w:p>
    <w:p w:rsidR="002B0821" w:rsidRDefault="002B0821" w:rsidP="002B0821">
      <w:pPr>
        <w:pStyle w:val="Textoindependiente"/>
        <w:numPr>
          <w:ilvl w:val="0"/>
          <w:numId w:val="13"/>
        </w:numPr>
        <w:spacing w:after="0" w:line="240" w:lineRule="auto"/>
        <w:ind w:left="2268" w:hanging="283"/>
        <w:jc w:val="both"/>
        <w:rPr>
          <w:rFonts w:ascii="Arial" w:hAnsi="Arial" w:cs="Arial"/>
          <w:sz w:val="20"/>
          <w:szCs w:val="20"/>
          <w:lang w:val="es-ES"/>
        </w:rPr>
      </w:pPr>
      <w:r>
        <w:rPr>
          <w:rFonts w:ascii="Arial" w:hAnsi="Arial" w:cs="Arial"/>
          <w:bCs/>
          <w:iCs/>
          <w:sz w:val="20"/>
          <w:szCs w:val="20"/>
        </w:rPr>
        <w:t>Centro de Salud San Vicente de Paul- Distrito IV- Zona Pedro Domingo Murillo</w:t>
      </w:r>
    </w:p>
    <w:p w:rsidR="002B0821" w:rsidRDefault="002B0821" w:rsidP="002B0821">
      <w:pPr>
        <w:pStyle w:val="Textoindependiente"/>
        <w:numPr>
          <w:ilvl w:val="0"/>
          <w:numId w:val="13"/>
        </w:numPr>
        <w:spacing w:after="0" w:line="240" w:lineRule="auto"/>
        <w:ind w:left="2268" w:hanging="283"/>
        <w:jc w:val="both"/>
        <w:rPr>
          <w:rFonts w:ascii="Arial" w:hAnsi="Arial" w:cs="Arial"/>
          <w:sz w:val="20"/>
          <w:szCs w:val="20"/>
          <w:lang w:val="es-ES"/>
        </w:rPr>
      </w:pPr>
      <w:r>
        <w:rPr>
          <w:rFonts w:ascii="Arial" w:hAnsi="Arial" w:cs="Arial"/>
          <w:bCs/>
          <w:iCs/>
          <w:sz w:val="20"/>
          <w:szCs w:val="20"/>
        </w:rPr>
        <w:t xml:space="preserve">Centro de Salud Espíritu Santo - Distrito V- Zona Tahuantinsuyo </w:t>
      </w:r>
    </w:p>
    <w:p w:rsidR="002B0821" w:rsidRDefault="002B0821" w:rsidP="002B0821">
      <w:pPr>
        <w:pStyle w:val="Textoindependiente"/>
        <w:numPr>
          <w:ilvl w:val="0"/>
          <w:numId w:val="15"/>
        </w:numPr>
        <w:spacing w:after="0" w:line="240" w:lineRule="auto"/>
        <w:ind w:left="2268" w:hanging="283"/>
        <w:jc w:val="both"/>
        <w:rPr>
          <w:rFonts w:ascii="Arial" w:hAnsi="Arial" w:cs="Arial"/>
          <w:bCs/>
          <w:iCs/>
          <w:sz w:val="20"/>
          <w:szCs w:val="20"/>
        </w:rPr>
      </w:pPr>
      <w:r>
        <w:rPr>
          <w:rFonts w:ascii="Arial" w:hAnsi="Arial" w:cs="Arial"/>
          <w:bCs/>
          <w:iCs/>
          <w:sz w:val="20"/>
          <w:szCs w:val="20"/>
        </w:rPr>
        <w:t xml:space="preserve">Centro de San Sebastián - Distrito III- Zona Villa Adela </w:t>
      </w:r>
    </w:p>
    <w:p w:rsidR="002B0821" w:rsidRDefault="002B0821" w:rsidP="002B0821">
      <w:pPr>
        <w:pStyle w:val="Textoindependiente"/>
        <w:numPr>
          <w:ilvl w:val="0"/>
          <w:numId w:val="15"/>
        </w:numPr>
        <w:spacing w:after="0" w:line="240" w:lineRule="auto"/>
        <w:ind w:left="2268" w:hanging="283"/>
        <w:jc w:val="both"/>
        <w:rPr>
          <w:rFonts w:ascii="Arial" w:hAnsi="Arial" w:cs="Arial"/>
          <w:sz w:val="20"/>
          <w:szCs w:val="20"/>
          <w:lang w:val="es-ES"/>
        </w:rPr>
      </w:pPr>
      <w:r>
        <w:rPr>
          <w:rFonts w:ascii="Arial" w:hAnsi="Arial" w:cs="Arial"/>
          <w:sz w:val="20"/>
          <w:szCs w:val="20"/>
          <w:lang w:val="es-ES"/>
        </w:rPr>
        <w:t>Centro de Salud San Luis Tasa, - Zona San Luis</w:t>
      </w:r>
    </w:p>
    <w:p w:rsidR="002B0821" w:rsidRDefault="002B0821" w:rsidP="002B0821">
      <w:pPr>
        <w:pStyle w:val="Textoindependiente"/>
        <w:spacing w:after="0" w:line="240" w:lineRule="auto"/>
        <w:ind w:left="1418" w:hanging="567"/>
        <w:jc w:val="both"/>
        <w:rPr>
          <w:rFonts w:ascii="Arial" w:hAnsi="Arial" w:cs="Arial"/>
          <w:bCs/>
          <w:iCs/>
          <w:sz w:val="20"/>
          <w:szCs w:val="20"/>
        </w:rPr>
      </w:pPr>
      <w:r>
        <w:rPr>
          <w:rFonts w:ascii="Arial" w:hAnsi="Arial" w:cs="Arial"/>
          <w:bCs/>
          <w:iCs/>
          <w:sz w:val="20"/>
          <w:szCs w:val="20"/>
        </w:rPr>
        <w:t> </w:t>
      </w:r>
    </w:p>
    <w:p w:rsidR="002B0821" w:rsidRDefault="002B0821" w:rsidP="002B0821">
      <w:pPr>
        <w:pStyle w:val="Textoindependiente"/>
        <w:spacing w:after="0" w:line="240" w:lineRule="auto"/>
        <w:ind w:left="1418" w:hanging="567"/>
        <w:jc w:val="both"/>
        <w:rPr>
          <w:rFonts w:ascii="Arial" w:hAnsi="Arial" w:cs="Arial"/>
          <w:sz w:val="20"/>
          <w:szCs w:val="20"/>
          <w:lang w:val="es-ES"/>
        </w:rPr>
      </w:pPr>
    </w:p>
    <w:p w:rsidR="002B0821" w:rsidRDefault="002B0821" w:rsidP="002B0821">
      <w:pPr>
        <w:pStyle w:val="Textoindependiente"/>
        <w:numPr>
          <w:ilvl w:val="0"/>
          <w:numId w:val="25"/>
        </w:numPr>
        <w:spacing w:after="0" w:line="240" w:lineRule="auto"/>
        <w:jc w:val="both"/>
        <w:rPr>
          <w:rFonts w:ascii="Arial" w:hAnsi="Arial" w:cs="Arial"/>
          <w:bCs/>
          <w:iCs/>
          <w:sz w:val="20"/>
          <w:szCs w:val="20"/>
        </w:rPr>
      </w:pPr>
      <w:r>
        <w:rPr>
          <w:rFonts w:ascii="Arial" w:hAnsi="Arial" w:cs="Arial"/>
          <w:bCs/>
          <w:iCs/>
          <w:sz w:val="20"/>
          <w:szCs w:val="20"/>
        </w:rPr>
        <w:t>Segundo Nivel de Atención:</w:t>
      </w:r>
    </w:p>
    <w:p w:rsidR="002B0821" w:rsidRDefault="002B0821" w:rsidP="002B0821">
      <w:pPr>
        <w:pStyle w:val="Textoindependiente"/>
        <w:spacing w:after="0" w:line="240" w:lineRule="auto"/>
        <w:ind w:left="1571"/>
        <w:jc w:val="both"/>
        <w:rPr>
          <w:rFonts w:ascii="Arial" w:hAnsi="Arial" w:cs="Arial"/>
          <w:sz w:val="20"/>
          <w:szCs w:val="20"/>
          <w:lang w:val="es-ES"/>
        </w:rPr>
      </w:pPr>
    </w:p>
    <w:p w:rsidR="002B0821" w:rsidRDefault="002B0821" w:rsidP="002B0821">
      <w:pPr>
        <w:pStyle w:val="Textoindependiente"/>
        <w:numPr>
          <w:ilvl w:val="1"/>
          <w:numId w:val="17"/>
        </w:numPr>
        <w:spacing w:after="0" w:line="240" w:lineRule="auto"/>
        <w:ind w:hanging="306"/>
        <w:jc w:val="both"/>
        <w:rPr>
          <w:rFonts w:ascii="Arial" w:hAnsi="Arial" w:cs="Arial"/>
          <w:sz w:val="20"/>
          <w:szCs w:val="20"/>
          <w:lang w:val="es-ES"/>
        </w:rPr>
      </w:pPr>
      <w:r>
        <w:rPr>
          <w:rFonts w:ascii="Arial" w:hAnsi="Arial" w:cs="Arial"/>
          <w:bCs/>
          <w:iCs/>
          <w:sz w:val="20"/>
          <w:szCs w:val="20"/>
        </w:rPr>
        <w:t xml:space="preserve">CEREFE - Distrito I- Zona Villa Dolores </w:t>
      </w:r>
    </w:p>
    <w:p w:rsidR="002B0821" w:rsidRDefault="002B0821" w:rsidP="002B0821">
      <w:pPr>
        <w:pStyle w:val="Textoindependiente"/>
        <w:numPr>
          <w:ilvl w:val="1"/>
          <w:numId w:val="17"/>
        </w:numPr>
        <w:spacing w:after="0" w:line="240" w:lineRule="auto"/>
        <w:ind w:hanging="306"/>
        <w:jc w:val="both"/>
        <w:rPr>
          <w:rFonts w:ascii="Arial" w:hAnsi="Arial" w:cs="Arial"/>
          <w:sz w:val="20"/>
          <w:szCs w:val="20"/>
          <w:lang w:val="es-ES"/>
        </w:rPr>
      </w:pPr>
      <w:r>
        <w:rPr>
          <w:rFonts w:ascii="Arial" w:hAnsi="Arial" w:cs="Arial"/>
          <w:bCs/>
          <w:iCs/>
          <w:sz w:val="20"/>
          <w:szCs w:val="20"/>
        </w:rPr>
        <w:t xml:space="preserve">Centro Materno Infantil - Distrito VI- Zona 16 de Julio </w:t>
      </w:r>
    </w:p>
    <w:p w:rsidR="002B0821" w:rsidRDefault="002B0821" w:rsidP="002B0821">
      <w:pPr>
        <w:pStyle w:val="Textoindependiente"/>
        <w:numPr>
          <w:ilvl w:val="1"/>
          <w:numId w:val="17"/>
        </w:numPr>
        <w:spacing w:after="0" w:line="240" w:lineRule="auto"/>
        <w:ind w:hanging="306"/>
        <w:jc w:val="both"/>
        <w:rPr>
          <w:rFonts w:ascii="Arial" w:hAnsi="Arial" w:cs="Arial"/>
          <w:bCs/>
          <w:iCs/>
          <w:sz w:val="20"/>
          <w:szCs w:val="20"/>
        </w:rPr>
      </w:pPr>
      <w:r>
        <w:rPr>
          <w:rFonts w:ascii="Arial" w:hAnsi="Arial" w:cs="Arial"/>
          <w:bCs/>
          <w:iCs/>
          <w:sz w:val="20"/>
          <w:szCs w:val="20"/>
        </w:rPr>
        <w:t xml:space="preserve">Centro Médico Adolfo </w:t>
      </w:r>
      <w:proofErr w:type="spellStart"/>
      <w:r>
        <w:rPr>
          <w:rFonts w:ascii="Arial" w:hAnsi="Arial" w:cs="Arial"/>
          <w:bCs/>
          <w:iCs/>
          <w:sz w:val="20"/>
          <w:szCs w:val="20"/>
        </w:rPr>
        <w:t>Kolping</w:t>
      </w:r>
      <w:proofErr w:type="spellEnd"/>
      <w:r>
        <w:rPr>
          <w:rFonts w:ascii="Arial" w:hAnsi="Arial" w:cs="Arial"/>
          <w:bCs/>
          <w:iCs/>
          <w:sz w:val="20"/>
          <w:szCs w:val="20"/>
        </w:rPr>
        <w:t xml:space="preserve"> - Distrito I- Zona Villa Dolores </w:t>
      </w:r>
    </w:p>
    <w:p w:rsidR="002B0821" w:rsidRDefault="002B0821" w:rsidP="002B0821">
      <w:pPr>
        <w:pStyle w:val="Sangra2detindependiente"/>
        <w:spacing w:after="0" w:line="240" w:lineRule="auto"/>
        <w:ind w:left="567" w:hanging="567"/>
        <w:jc w:val="both"/>
        <w:rPr>
          <w:rFonts w:ascii="Verdana" w:hAnsi="Verdana"/>
          <w:sz w:val="18"/>
          <w:szCs w:val="18"/>
        </w:rPr>
      </w:pPr>
    </w:p>
    <w:p w:rsidR="002B0821" w:rsidRPr="00E257A5" w:rsidRDefault="002B0821" w:rsidP="002B0821">
      <w:pPr>
        <w:ind w:left="426"/>
        <w:jc w:val="both"/>
        <w:rPr>
          <w:rFonts w:ascii="Arial" w:hAnsi="Arial" w:cs="Arial"/>
          <w:sz w:val="20"/>
          <w:szCs w:val="20"/>
        </w:rPr>
      </w:pPr>
      <w:r w:rsidRPr="00E257A5">
        <w:rPr>
          <w:rFonts w:ascii="Arial" w:hAnsi="Arial" w:cs="Arial"/>
          <w:sz w:val="20"/>
          <w:szCs w:val="20"/>
        </w:rPr>
        <w:t xml:space="preserve">La Administración de </w:t>
      </w:r>
      <w:proofErr w:type="spellStart"/>
      <w:r w:rsidRPr="00E257A5">
        <w:rPr>
          <w:rFonts w:ascii="Arial" w:hAnsi="Arial" w:cs="Arial"/>
          <w:sz w:val="20"/>
          <w:szCs w:val="20"/>
        </w:rPr>
        <w:t>Policonsultorio</w:t>
      </w:r>
      <w:proofErr w:type="spellEnd"/>
      <w:r w:rsidRPr="00E257A5">
        <w:rPr>
          <w:rFonts w:ascii="Arial" w:hAnsi="Arial" w:cs="Arial"/>
          <w:sz w:val="20"/>
          <w:szCs w:val="20"/>
        </w:rPr>
        <w:t xml:space="preserve"> El Alto de la CSBP pondrá a disposición, la documentación e información en base a los requerimientos de la firma. </w:t>
      </w:r>
    </w:p>
    <w:p w:rsidR="002B0821" w:rsidRPr="00B71698" w:rsidRDefault="002B0821" w:rsidP="002B0821">
      <w:pPr>
        <w:numPr>
          <w:ilvl w:val="1"/>
          <w:numId w:val="18"/>
        </w:numPr>
        <w:tabs>
          <w:tab w:val="num" w:pos="426"/>
        </w:tabs>
        <w:spacing w:after="0" w:line="240" w:lineRule="auto"/>
        <w:ind w:left="284" w:hanging="284"/>
        <w:jc w:val="both"/>
        <w:rPr>
          <w:rFonts w:ascii="Arial" w:hAnsi="Arial" w:cs="Arial"/>
          <w:b/>
          <w:sz w:val="20"/>
          <w:szCs w:val="20"/>
        </w:rPr>
      </w:pPr>
      <w:r w:rsidRPr="00B71698">
        <w:rPr>
          <w:rFonts w:ascii="Arial" w:hAnsi="Arial" w:cs="Arial"/>
          <w:b/>
          <w:sz w:val="20"/>
          <w:szCs w:val="20"/>
        </w:rPr>
        <w:t>ALCANCE DE LOS SERVICIOS</w:t>
      </w:r>
    </w:p>
    <w:p w:rsidR="002B0821" w:rsidRPr="00B71698" w:rsidRDefault="002B0821" w:rsidP="002B0821">
      <w:pPr>
        <w:tabs>
          <w:tab w:val="num" w:pos="1440"/>
        </w:tabs>
        <w:spacing w:after="0" w:line="240" w:lineRule="auto"/>
        <w:ind w:left="284"/>
        <w:jc w:val="both"/>
        <w:rPr>
          <w:rFonts w:ascii="Arial" w:hAnsi="Arial" w:cs="Arial"/>
          <w:b/>
          <w:sz w:val="20"/>
          <w:szCs w:val="20"/>
        </w:rPr>
      </w:pPr>
    </w:p>
    <w:p w:rsidR="002B0821" w:rsidRPr="00B71698" w:rsidRDefault="002B0821" w:rsidP="002B0821">
      <w:pPr>
        <w:tabs>
          <w:tab w:val="left" w:pos="50"/>
        </w:tabs>
        <w:ind w:left="426"/>
        <w:jc w:val="both"/>
        <w:rPr>
          <w:rFonts w:ascii="Arial" w:hAnsi="Arial" w:cs="Arial"/>
          <w:sz w:val="20"/>
          <w:szCs w:val="20"/>
        </w:rPr>
      </w:pPr>
      <w:r w:rsidRPr="00B71698">
        <w:rPr>
          <w:rFonts w:ascii="Arial" w:hAnsi="Arial" w:cs="Arial"/>
          <w:sz w:val="20"/>
          <w:szCs w:val="20"/>
        </w:rPr>
        <w:t>Considerando la naturaleza de la CSBP por las funciones específicas que cumple, para la ejecución de esta auditoría, se define con carácter predeterminado el siguiente alcance:</w:t>
      </w:r>
    </w:p>
    <w:p w:rsidR="002B0821" w:rsidRPr="00B71698" w:rsidRDefault="002B0821" w:rsidP="002B0821">
      <w:pPr>
        <w:pStyle w:val="Prrafodelista"/>
        <w:numPr>
          <w:ilvl w:val="1"/>
          <w:numId w:val="21"/>
        </w:numPr>
        <w:spacing w:after="0" w:line="240" w:lineRule="auto"/>
        <w:jc w:val="both"/>
        <w:rPr>
          <w:rFonts w:ascii="Arial" w:hAnsi="Arial" w:cs="Arial"/>
          <w:bCs/>
          <w:sz w:val="20"/>
          <w:szCs w:val="20"/>
        </w:rPr>
      </w:pPr>
      <w:r w:rsidRPr="00B71698">
        <w:rPr>
          <w:rFonts w:ascii="Arial" w:hAnsi="Arial" w:cs="Arial"/>
          <w:bCs/>
          <w:sz w:val="20"/>
          <w:szCs w:val="20"/>
        </w:rPr>
        <w:t>Confiabilidad de la información financiera.</w:t>
      </w:r>
    </w:p>
    <w:p w:rsidR="002B0821" w:rsidRPr="00B71698" w:rsidRDefault="002B0821" w:rsidP="002B0821">
      <w:pPr>
        <w:pStyle w:val="Prrafodelista"/>
        <w:spacing w:after="0" w:line="240" w:lineRule="auto"/>
        <w:ind w:left="1440"/>
        <w:jc w:val="both"/>
        <w:rPr>
          <w:rFonts w:ascii="Arial" w:hAnsi="Arial" w:cs="Arial"/>
          <w:bCs/>
          <w:sz w:val="20"/>
          <w:szCs w:val="20"/>
        </w:rPr>
      </w:pPr>
    </w:p>
    <w:p w:rsidR="002B0821" w:rsidRPr="00B71698" w:rsidRDefault="002B0821" w:rsidP="002B0821">
      <w:pPr>
        <w:pStyle w:val="Prrafodelista"/>
        <w:numPr>
          <w:ilvl w:val="1"/>
          <w:numId w:val="21"/>
        </w:numPr>
        <w:spacing w:after="0" w:line="240" w:lineRule="auto"/>
        <w:jc w:val="both"/>
        <w:rPr>
          <w:rFonts w:ascii="Arial" w:hAnsi="Arial" w:cs="Arial"/>
          <w:bCs/>
          <w:sz w:val="20"/>
          <w:szCs w:val="20"/>
        </w:rPr>
      </w:pPr>
      <w:r>
        <w:rPr>
          <w:rFonts w:ascii="Arial" w:hAnsi="Arial" w:cs="Arial"/>
          <w:bCs/>
          <w:sz w:val="20"/>
          <w:szCs w:val="20"/>
        </w:rPr>
        <w:t>Cumplimiento de Convenio suscrito</w:t>
      </w:r>
      <w:r w:rsidRPr="00B71698">
        <w:rPr>
          <w:rFonts w:ascii="Arial" w:hAnsi="Arial" w:cs="Arial"/>
          <w:bCs/>
          <w:sz w:val="20"/>
          <w:szCs w:val="20"/>
        </w:rPr>
        <w:t>.</w:t>
      </w:r>
    </w:p>
    <w:p w:rsidR="002B0821" w:rsidRPr="00E257A5" w:rsidRDefault="002B0821" w:rsidP="002B0821">
      <w:pPr>
        <w:pStyle w:val="Prrafodelista"/>
        <w:spacing w:after="0" w:line="240" w:lineRule="auto"/>
        <w:ind w:left="1440"/>
        <w:jc w:val="both"/>
        <w:rPr>
          <w:rFonts w:ascii="Arial" w:hAnsi="Arial" w:cs="Arial"/>
          <w:bCs/>
          <w:sz w:val="20"/>
          <w:szCs w:val="20"/>
        </w:rPr>
      </w:pPr>
    </w:p>
    <w:p w:rsidR="002B0821" w:rsidRPr="00E257A5" w:rsidRDefault="002B0821" w:rsidP="002B0821">
      <w:pPr>
        <w:numPr>
          <w:ilvl w:val="1"/>
          <w:numId w:val="18"/>
        </w:numPr>
        <w:tabs>
          <w:tab w:val="num" w:pos="426"/>
        </w:tabs>
        <w:spacing w:after="0" w:line="240" w:lineRule="auto"/>
        <w:ind w:left="284" w:hanging="284"/>
        <w:jc w:val="both"/>
        <w:rPr>
          <w:rFonts w:ascii="Arial" w:hAnsi="Arial" w:cs="Arial"/>
          <w:b/>
          <w:sz w:val="20"/>
          <w:szCs w:val="20"/>
        </w:rPr>
      </w:pPr>
      <w:r w:rsidRPr="00E257A5">
        <w:rPr>
          <w:rFonts w:ascii="Arial" w:hAnsi="Arial" w:cs="Arial"/>
          <w:b/>
          <w:sz w:val="20"/>
          <w:szCs w:val="20"/>
        </w:rPr>
        <w:lastRenderedPageBreak/>
        <w:t>METODOLOGÍA REQUERIDA</w:t>
      </w:r>
    </w:p>
    <w:p w:rsidR="002B0821" w:rsidRPr="00E257A5" w:rsidRDefault="002B0821" w:rsidP="002B0821">
      <w:pPr>
        <w:tabs>
          <w:tab w:val="num" w:pos="1440"/>
        </w:tabs>
        <w:spacing w:after="0" w:line="240" w:lineRule="auto"/>
        <w:ind w:left="284"/>
        <w:jc w:val="both"/>
        <w:rPr>
          <w:rFonts w:ascii="Arial" w:hAnsi="Arial" w:cs="Arial"/>
          <w:b/>
          <w:sz w:val="20"/>
          <w:szCs w:val="20"/>
        </w:rPr>
      </w:pPr>
    </w:p>
    <w:p w:rsidR="002B0821" w:rsidRDefault="002B0821" w:rsidP="002B0821">
      <w:pPr>
        <w:ind w:left="426"/>
        <w:jc w:val="both"/>
        <w:rPr>
          <w:rFonts w:ascii="Arial" w:hAnsi="Arial" w:cs="Arial"/>
          <w:sz w:val="20"/>
          <w:szCs w:val="20"/>
        </w:rPr>
      </w:pPr>
      <w:r w:rsidRPr="00E257A5">
        <w:rPr>
          <w:rFonts w:ascii="Arial" w:hAnsi="Arial" w:cs="Arial"/>
          <w:sz w:val="20"/>
          <w:szCs w:val="20"/>
        </w:rPr>
        <w:t>El trabajo de auditoría debe desarrollarse de acuerdo con las Normas Internacionales de Auditoría Generalmente Aceptadas, en lo que corresponda.</w:t>
      </w:r>
    </w:p>
    <w:p w:rsidR="002B0821" w:rsidRDefault="002B0821" w:rsidP="002B0821">
      <w:pPr>
        <w:ind w:left="426"/>
        <w:rPr>
          <w:rFonts w:ascii="Arial" w:hAnsi="Arial" w:cs="Arial"/>
          <w:b/>
          <w:bCs/>
          <w:color w:val="000000"/>
        </w:rPr>
      </w:pPr>
    </w:p>
    <w:p w:rsidR="002B0821" w:rsidRPr="00627021" w:rsidRDefault="002B0821" w:rsidP="002B0821">
      <w:pPr>
        <w:ind w:left="426"/>
        <w:jc w:val="both"/>
        <w:rPr>
          <w:rFonts w:ascii="Arial" w:hAnsi="Arial" w:cs="Arial"/>
          <w:color w:val="000000"/>
          <w:sz w:val="20"/>
          <w:szCs w:val="20"/>
        </w:rPr>
      </w:pPr>
      <w:r w:rsidRPr="00627021">
        <w:rPr>
          <w:rFonts w:ascii="Arial" w:hAnsi="Arial" w:cs="Arial"/>
          <w:b/>
          <w:bCs/>
          <w:color w:val="000000"/>
          <w:sz w:val="20"/>
          <w:szCs w:val="20"/>
        </w:rPr>
        <w:t>Cantidad de comprobantes de egreso:</w:t>
      </w:r>
      <w:r w:rsidRPr="00627021">
        <w:rPr>
          <w:rFonts w:ascii="Arial" w:hAnsi="Arial" w:cs="Arial"/>
          <w:color w:val="000000"/>
          <w:sz w:val="20"/>
          <w:szCs w:val="20"/>
        </w:rPr>
        <w:t xml:space="preserve">         </w:t>
      </w:r>
    </w:p>
    <w:p w:rsidR="002B0821" w:rsidRPr="00627021" w:rsidRDefault="002B0821" w:rsidP="002B0821">
      <w:pPr>
        <w:ind w:left="426"/>
        <w:jc w:val="both"/>
        <w:rPr>
          <w:rFonts w:ascii="Arial" w:hAnsi="Arial" w:cs="Arial"/>
          <w:color w:val="000000"/>
          <w:sz w:val="20"/>
          <w:szCs w:val="20"/>
        </w:rPr>
      </w:pPr>
      <w:r w:rsidRPr="00627021">
        <w:rPr>
          <w:rFonts w:ascii="Arial" w:hAnsi="Arial" w:cs="Arial"/>
          <w:color w:val="000000"/>
          <w:sz w:val="20"/>
          <w:szCs w:val="20"/>
        </w:rPr>
        <w:t>Para la revisión se</w:t>
      </w:r>
      <w:r>
        <w:rPr>
          <w:rFonts w:ascii="Arial" w:hAnsi="Arial" w:cs="Arial"/>
          <w:color w:val="000000"/>
          <w:sz w:val="20"/>
          <w:szCs w:val="20"/>
        </w:rPr>
        <w:t xml:space="preserve"> cuenta</w:t>
      </w:r>
      <w:r w:rsidRPr="00627021">
        <w:rPr>
          <w:rFonts w:ascii="Arial" w:hAnsi="Arial" w:cs="Arial"/>
          <w:color w:val="000000"/>
          <w:sz w:val="20"/>
          <w:szCs w:val="20"/>
        </w:rPr>
        <w:t xml:space="preserve"> </w:t>
      </w:r>
      <w:r>
        <w:rPr>
          <w:rFonts w:ascii="Arial" w:hAnsi="Arial" w:cs="Arial"/>
          <w:color w:val="000000"/>
          <w:sz w:val="20"/>
          <w:szCs w:val="20"/>
        </w:rPr>
        <w:t xml:space="preserve">con </w:t>
      </w:r>
      <w:r w:rsidRPr="00627021">
        <w:rPr>
          <w:rFonts w:ascii="Arial" w:hAnsi="Arial" w:cs="Arial"/>
          <w:color w:val="000000"/>
          <w:sz w:val="20"/>
          <w:szCs w:val="20"/>
        </w:rPr>
        <w:t>12  comproban</w:t>
      </w:r>
      <w:r>
        <w:rPr>
          <w:rFonts w:ascii="Arial" w:hAnsi="Arial" w:cs="Arial"/>
          <w:color w:val="000000"/>
          <w:sz w:val="20"/>
          <w:szCs w:val="20"/>
        </w:rPr>
        <w:t>tes de egreso de la Gestión 2020</w:t>
      </w:r>
      <w:r w:rsidRPr="00627021">
        <w:rPr>
          <w:rFonts w:ascii="Arial" w:hAnsi="Arial" w:cs="Arial"/>
          <w:color w:val="000000"/>
          <w:sz w:val="20"/>
          <w:szCs w:val="20"/>
        </w:rPr>
        <w:t xml:space="preserve">, cada comprobante se respalda de acuerdo a la prestación de servicios </w:t>
      </w:r>
      <w:r>
        <w:rPr>
          <w:rFonts w:ascii="Arial" w:hAnsi="Arial" w:cs="Arial"/>
          <w:color w:val="000000"/>
          <w:sz w:val="20"/>
          <w:szCs w:val="20"/>
        </w:rPr>
        <w:t xml:space="preserve">médicos </w:t>
      </w:r>
      <w:r w:rsidRPr="00627021">
        <w:rPr>
          <w:rFonts w:ascii="Arial" w:hAnsi="Arial" w:cs="Arial"/>
          <w:color w:val="000000"/>
          <w:sz w:val="20"/>
          <w:szCs w:val="20"/>
        </w:rPr>
        <w:t xml:space="preserve">de cada mes por lo que se tiene un promedio de </w:t>
      </w:r>
      <w:r>
        <w:rPr>
          <w:rFonts w:ascii="Arial" w:hAnsi="Arial" w:cs="Arial"/>
          <w:color w:val="000000"/>
          <w:sz w:val="20"/>
          <w:szCs w:val="20"/>
        </w:rPr>
        <w:t>1200</w:t>
      </w:r>
      <w:r w:rsidRPr="00627021">
        <w:rPr>
          <w:rFonts w:ascii="Arial" w:hAnsi="Arial" w:cs="Arial"/>
          <w:color w:val="000000"/>
          <w:sz w:val="20"/>
          <w:szCs w:val="20"/>
        </w:rPr>
        <w:t xml:space="preserve"> atenciones otorgadas en los siete centros.</w:t>
      </w:r>
    </w:p>
    <w:p w:rsidR="002B0821" w:rsidRDefault="002B0821" w:rsidP="002B0821">
      <w:pPr>
        <w:ind w:left="426"/>
        <w:jc w:val="both"/>
        <w:rPr>
          <w:rFonts w:ascii="Arial" w:hAnsi="Arial" w:cs="Arial"/>
          <w:sz w:val="20"/>
          <w:szCs w:val="20"/>
        </w:rPr>
      </w:pPr>
      <w:r w:rsidRPr="00627021">
        <w:rPr>
          <w:rFonts w:ascii="Arial" w:hAnsi="Arial" w:cs="Arial"/>
          <w:color w:val="000000"/>
          <w:sz w:val="20"/>
          <w:szCs w:val="20"/>
        </w:rPr>
        <w:t xml:space="preserve">La ejecución presupuestaria de la gestión es de Bs. </w:t>
      </w:r>
      <w:r w:rsidRPr="00B86AD1">
        <w:rPr>
          <w:rFonts w:ascii="Arial" w:hAnsi="Arial" w:cs="Arial"/>
          <w:sz w:val="20"/>
          <w:szCs w:val="20"/>
        </w:rPr>
        <w:t>915.477,31</w:t>
      </w:r>
      <w:r w:rsidRPr="00627021">
        <w:rPr>
          <w:rFonts w:ascii="Arial" w:hAnsi="Arial" w:cs="Arial"/>
          <w:sz w:val="20"/>
          <w:szCs w:val="20"/>
        </w:rPr>
        <w:t>.-</w:t>
      </w:r>
    </w:p>
    <w:p w:rsidR="002B0821" w:rsidRDefault="002B0821" w:rsidP="002B0821">
      <w:pPr>
        <w:ind w:left="426"/>
        <w:jc w:val="both"/>
        <w:rPr>
          <w:rFonts w:ascii="Arial" w:hAnsi="Arial" w:cs="Arial"/>
          <w:sz w:val="20"/>
          <w:szCs w:val="20"/>
        </w:rPr>
      </w:pPr>
    </w:p>
    <w:p w:rsidR="002B0821" w:rsidRPr="00E257A5" w:rsidRDefault="002B0821" w:rsidP="002B0821">
      <w:pPr>
        <w:numPr>
          <w:ilvl w:val="1"/>
          <w:numId w:val="18"/>
        </w:numPr>
        <w:tabs>
          <w:tab w:val="num" w:pos="426"/>
        </w:tabs>
        <w:spacing w:after="0" w:line="240" w:lineRule="auto"/>
        <w:ind w:left="284" w:hanging="284"/>
        <w:jc w:val="both"/>
        <w:rPr>
          <w:rFonts w:ascii="Arial" w:hAnsi="Arial" w:cs="Arial"/>
          <w:b/>
          <w:sz w:val="20"/>
          <w:szCs w:val="20"/>
        </w:rPr>
      </w:pPr>
      <w:r>
        <w:rPr>
          <w:rFonts w:ascii="Arial" w:hAnsi="Arial" w:cs="Arial"/>
          <w:b/>
          <w:sz w:val="20"/>
          <w:szCs w:val="20"/>
        </w:rPr>
        <w:t xml:space="preserve"> </w:t>
      </w:r>
      <w:r w:rsidRPr="00E257A5">
        <w:rPr>
          <w:rFonts w:ascii="Arial" w:hAnsi="Arial" w:cs="Arial"/>
          <w:b/>
          <w:sz w:val="20"/>
          <w:szCs w:val="20"/>
        </w:rPr>
        <w:t>INFORMES DE TRABAJO</w:t>
      </w:r>
    </w:p>
    <w:p w:rsidR="002B0821" w:rsidRPr="00E257A5" w:rsidRDefault="002B0821" w:rsidP="002B0821">
      <w:pPr>
        <w:tabs>
          <w:tab w:val="num" w:pos="1440"/>
        </w:tabs>
        <w:spacing w:after="0" w:line="240" w:lineRule="auto"/>
        <w:ind w:left="284"/>
        <w:jc w:val="both"/>
        <w:rPr>
          <w:rFonts w:ascii="Arial" w:hAnsi="Arial" w:cs="Arial"/>
          <w:b/>
          <w:sz w:val="20"/>
          <w:szCs w:val="20"/>
        </w:rPr>
      </w:pPr>
    </w:p>
    <w:p w:rsidR="002B0821" w:rsidRPr="00E257A5" w:rsidRDefault="002B0821" w:rsidP="002B0821">
      <w:pPr>
        <w:ind w:left="426"/>
        <w:jc w:val="both"/>
        <w:rPr>
          <w:rFonts w:ascii="Arial" w:hAnsi="Arial" w:cs="Arial"/>
          <w:sz w:val="20"/>
          <w:szCs w:val="20"/>
        </w:rPr>
      </w:pPr>
      <w:r w:rsidRPr="00E257A5">
        <w:rPr>
          <w:rFonts w:ascii="Arial" w:hAnsi="Arial" w:cs="Arial"/>
          <w:sz w:val="20"/>
          <w:szCs w:val="20"/>
        </w:rPr>
        <w:t>La firma de Auditoría Externa deberá emitir los siguientes Productos:</w:t>
      </w:r>
    </w:p>
    <w:p w:rsidR="002B0821" w:rsidRDefault="002B0821" w:rsidP="002B0821">
      <w:pPr>
        <w:ind w:left="2410" w:hanging="1984"/>
        <w:jc w:val="both"/>
        <w:rPr>
          <w:rFonts w:ascii="Arial" w:hAnsi="Arial" w:cs="Arial"/>
          <w:sz w:val="20"/>
          <w:szCs w:val="20"/>
        </w:rPr>
      </w:pPr>
      <w:r w:rsidRPr="00E257A5">
        <w:rPr>
          <w:rFonts w:ascii="Arial" w:hAnsi="Arial" w:cs="Arial"/>
          <w:b/>
          <w:sz w:val="20"/>
          <w:szCs w:val="20"/>
        </w:rPr>
        <w:t>Informe N° 1:</w:t>
      </w:r>
      <w:r w:rsidRPr="00E257A5">
        <w:rPr>
          <w:rFonts w:ascii="Arial" w:hAnsi="Arial" w:cs="Arial"/>
          <w:sz w:val="20"/>
          <w:szCs w:val="20"/>
        </w:rPr>
        <w:tab/>
      </w:r>
    </w:p>
    <w:p w:rsidR="002B0821" w:rsidRPr="001E39A0" w:rsidRDefault="002B0821" w:rsidP="002B0821">
      <w:pPr>
        <w:pStyle w:val="Prrafodelista"/>
        <w:numPr>
          <w:ilvl w:val="0"/>
          <w:numId w:val="19"/>
        </w:numPr>
        <w:jc w:val="both"/>
        <w:rPr>
          <w:rFonts w:ascii="Arial" w:hAnsi="Arial" w:cs="Arial"/>
          <w:sz w:val="20"/>
          <w:szCs w:val="20"/>
        </w:rPr>
      </w:pPr>
      <w:r w:rsidRPr="001E39A0">
        <w:rPr>
          <w:rFonts w:ascii="Arial" w:hAnsi="Arial" w:cs="Arial"/>
          <w:sz w:val="20"/>
          <w:szCs w:val="20"/>
        </w:rPr>
        <w:t>Dictamen del auditor independiente</w:t>
      </w:r>
      <w:r>
        <w:rPr>
          <w:rFonts w:ascii="Arial" w:hAnsi="Arial" w:cs="Arial"/>
          <w:sz w:val="20"/>
          <w:szCs w:val="20"/>
        </w:rPr>
        <w:t xml:space="preserve"> sobre la razonabilidad de los E</w:t>
      </w:r>
      <w:r w:rsidRPr="001E39A0">
        <w:rPr>
          <w:rFonts w:ascii="Arial" w:hAnsi="Arial" w:cs="Arial"/>
          <w:sz w:val="20"/>
          <w:szCs w:val="20"/>
        </w:rPr>
        <w:t xml:space="preserve">stados </w:t>
      </w:r>
      <w:r>
        <w:rPr>
          <w:rFonts w:ascii="Arial" w:hAnsi="Arial" w:cs="Arial"/>
          <w:sz w:val="20"/>
          <w:szCs w:val="20"/>
        </w:rPr>
        <w:t>F</w:t>
      </w:r>
      <w:r w:rsidRPr="001E39A0">
        <w:rPr>
          <w:rFonts w:ascii="Arial" w:hAnsi="Arial" w:cs="Arial"/>
          <w:sz w:val="20"/>
          <w:szCs w:val="20"/>
        </w:rPr>
        <w:t xml:space="preserve">inancieros de la CSBP de </w:t>
      </w:r>
      <w:r>
        <w:rPr>
          <w:rFonts w:ascii="Arial" w:hAnsi="Arial" w:cs="Arial"/>
          <w:sz w:val="20"/>
          <w:szCs w:val="20"/>
        </w:rPr>
        <w:t xml:space="preserve">la gestión 2020 </w:t>
      </w:r>
      <w:r w:rsidRPr="001E39A0">
        <w:rPr>
          <w:rFonts w:ascii="Arial" w:hAnsi="Arial" w:cs="Arial"/>
          <w:sz w:val="20"/>
          <w:szCs w:val="20"/>
        </w:rPr>
        <w:t>(Enero – Diciembre).</w:t>
      </w:r>
    </w:p>
    <w:p w:rsidR="002B0821" w:rsidRDefault="002B0821" w:rsidP="002B0821">
      <w:pPr>
        <w:numPr>
          <w:ilvl w:val="0"/>
          <w:numId w:val="19"/>
        </w:numPr>
        <w:tabs>
          <w:tab w:val="left" w:pos="540"/>
          <w:tab w:val="num" w:pos="2556"/>
          <w:tab w:val="num" w:pos="3124"/>
        </w:tabs>
        <w:spacing w:before="60" w:after="60" w:line="240" w:lineRule="auto"/>
        <w:ind w:left="2558" w:hanging="6"/>
        <w:jc w:val="both"/>
        <w:rPr>
          <w:rFonts w:ascii="Arial" w:hAnsi="Arial" w:cs="Arial"/>
          <w:sz w:val="20"/>
          <w:szCs w:val="20"/>
        </w:rPr>
      </w:pPr>
      <w:r w:rsidRPr="00E257A5">
        <w:rPr>
          <w:rFonts w:ascii="Arial" w:hAnsi="Arial" w:cs="Arial"/>
          <w:sz w:val="20"/>
          <w:szCs w:val="20"/>
        </w:rPr>
        <w:t>Balance General</w:t>
      </w:r>
      <w:r>
        <w:rPr>
          <w:rFonts w:ascii="Arial" w:hAnsi="Arial" w:cs="Arial"/>
          <w:sz w:val="20"/>
          <w:szCs w:val="20"/>
        </w:rPr>
        <w:t>.</w:t>
      </w:r>
    </w:p>
    <w:p w:rsidR="002B0821" w:rsidRPr="00E257A5" w:rsidRDefault="002B0821" w:rsidP="002B0821">
      <w:pPr>
        <w:numPr>
          <w:ilvl w:val="0"/>
          <w:numId w:val="19"/>
        </w:numPr>
        <w:tabs>
          <w:tab w:val="left" w:pos="540"/>
          <w:tab w:val="num" w:pos="2556"/>
          <w:tab w:val="num" w:pos="3124"/>
        </w:tabs>
        <w:spacing w:before="60" w:after="60" w:line="240" w:lineRule="auto"/>
        <w:ind w:left="2558" w:hanging="6"/>
        <w:jc w:val="both"/>
        <w:rPr>
          <w:rFonts w:ascii="Arial" w:hAnsi="Arial" w:cs="Arial"/>
          <w:sz w:val="20"/>
          <w:szCs w:val="20"/>
        </w:rPr>
      </w:pPr>
      <w:r>
        <w:rPr>
          <w:rFonts w:ascii="Arial" w:hAnsi="Arial" w:cs="Arial"/>
          <w:sz w:val="20"/>
          <w:szCs w:val="20"/>
        </w:rPr>
        <w:t>Estado de Ingresos y Egresos.</w:t>
      </w:r>
    </w:p>
    <w:p w:rsidR="002B0821" w:rsidRPr="00E257A5" w:rsidRDefault="002B0821" w:rsidP="002B0821">
      <w:pPr>
        <w:numPr>
          <w:ilvl w:val="0"/>
          <w:numId w:val="19"/>
        </w:numPr>
        <w:tabs>
          <w:tab w:val="left" w:pos="540"/>
          <w:tab w:val="num" w:pos="2556"/>
          <w:tab w:val="num" w:pos="3124"/>
        </w:tabs>
        <w:spacing w:before="60" w:after="60" w:line="240" w:lineRule="auto"/>
        <w:ind w:left="2558" w:hanging="6"/>
        <w:jc w:val="both"/>
        <w:rPr>
          <w:rFonts w:ascii="Arial" w:hAnsi="Arial" w:cs="Arial"/>
          <w:sz w:val="20"/>
          <w:szCs w:val="20"/>
        </w:rPr>
      </w:pPr>
      <w:r w:rsidRPr="00E257A5">
        <w:rPr>
          <w:rFonts w:ascii="Arial" w:hAnsi="Arial" w:cs="Arial"/>
          <w:sz w:val="20"/>
          <w:szCs w:val="20"/>
        </w:rPr>
        <w:t>Estado de Resultados.</w:t>
      </w:r>
    </w:p>
    <w:p w:rsidR="002B0821" w:rsidRPr="00E257A5" w:rsidRDefault="002B0821" w:rsidP="002B0821">
      <w:pPr>
        <w:numPr>
          <w:ilvl w:val="0"/>
          <w:numId w:val="19"/>
        </w:numPr>
        <w:tabs>
          <w:tab w:val="left" w:pos="540"/>
          <w:tab w:val="num" w:pos="2556"/>
          <w:tab w:val="num" w:pos="3124"/>
        </w:tabs>
        <w:spacing w:before="60" w:after="60" w:line="240" w:lineRule="auto"/>
        <w:ind w:left="2558" w:hanging="6"/>
        <w:jc w:val="both"/>
        <w:rPr>
          <w:rFonts w:ascii="Arial" w:hAnsi="Arial" w:cs="Arial"/>
          <w:sz w:val="20"/>
          <w:szCs w:val="20"/>
        </w:rPr>
      </w:pPr>
      <w:r w:rsidRPr="00E257A5">
        <w:rPr>
          <w:rFonts w:ascii="Arial" w:hAnsi="Arial" w:cs="Arial"/>
          <w:sz w:val="20"/>
          <w:szCs w:val="20"/>
        </w:rPr>
        <w:t>Estado de Flujo de Efectivo.</w:t>
      </w:r>
    </w:p>
    <w:p w:rsidR="002B0821" w:rsidRPr="00E257A5" w:rsidRDefault="002B0821" w:rsidP="002B0821">
      <w:pPr>
        <w:numPr>
          <w:ilvl w:val="0"/>
          <w:numId w:val="19"/>
        </w:numPr>
        <w:tabs>
          <w:tab w:val="left" w:pos="540"/>
          <w:tab w:val="num" w:pos="2556"/>
          <w:tab w:val="num" w:pos="3124"/>
        </w:tabs>
        <w:spacing w:before="60" w:after="60" w:line="240" w:lineRule="auto"/>
        <w:ind w:left="2558" w:hanging="6"/>
        <w:jc w:val="both"/>
        <w:rPr>
          <w:rFonts w:ascii="Arial" w:hAnsi="Arial" w:cs="Arial"/>
          <w:sz w:val="20"/>
          <w:szCs w:val="20"/>
        </w:rPr>
      </w:pPr>
      <w:r>
        <w:rPr>
          <w:rFonts w:ascii="Arial" w:hAnsi="Arial" w:cs="Arial"/>
          <w:sz w:val="20"/>
          <w:szCs w:val="20"/>
        </w:rPr>
        <w:t>Estado de Ejecución P</w:t>
      </w:r>
      <w:r w:rsidRPr="00E257A5">
        <w:rPr>
          <w:rFonts w:ascii="Arial" w:hAnsi="Arial" w:cs="Arial"/>
          <w:sz w:val="20"/>
          <w:szCs w:val="20"/>
        </w:rPr>
        <w:t>resupuestaria</w:t>
      </w:r>
    </w:p>
    <w:p w:rsidR="002B0821" w:rsidRPr="00E257A5" w:rsidRDefault="002B0821" w:rsidP="002B0821">
      <w:pPr>
        <w:numPr>
          <w:ilvl w:val="0"/>
          <w:numId w:val="19"/>
        </w:numPr>
        <w:tabs>
          <w:tab w:val="left" w:pos="540"/>
          <w:tab w:val="num" w:pos="2556"/>
          <w:tab w:val="num" w:pos="3124"/>
        </w:tabs>
        <w:spacing w:after="0" w:line="240" w:lineRule="auto"/>
        <w:ind w:left="2556" w:hanging="4"/>
        <w:jc w:val="both"/>
        <w:rPr>
          <w:rFonts w:ascii="Arial" w:hAnsi="Arial" w:cs="Arial"/>
          <w:sz w:val="20"/>
          <w:szCs w:val="20"/>
        </w:rPr>
      </w:pPr>
      <w:r w:rsidRPr="00E257A5">
        <w:rPr>
          <w:rFonts w:ascii="Arial" w:hAnsi="Arial" w:cs="Arial"/>
          <w:sz w:val="20"/>
          <w:szCs w:val="20"/>
        </w:rPr>
        <w:t>Notas a los Estados Financieros.</w:t>
      </w:r>
    </w:p>
    <w:p w:rsidR="002B0821" w:rsidRPr="00E257A5" w:rsidRDefault="002B0821" w:rsidP="002B0821">
      <w:pPr>
        <w:ind w:left="2410" w:hanging="1984"/>
        <w:jc w:val="both"/>
        <w:rPr>
          <w:rFonts w:ascii="Arial" w:hAnsi="Arial" w:cs="Arial"/>
          <w:b/>
          <w:sz w:val="20"/>
          <w:szCs w:val="20"/>
        </w:rPr>
      </w:pPr>
    </w:p>
    <w:p w:rsidR="002B0821" w:rsidRPr="00E257A5" w:rsidRDefault="002B0821" w:rsidP="002B0821">
      <w:pPr>
        <w:ind w:left="2410" w:hanging="1984"/>
        <w:jc w:val="both"/>
        <w:rPr>
          <w:rFonts w:ascii="Arial" w:hAnsi="Arial" w:cs="Arial"/>
          <w:sz w:val="20"/>
          <w:szCs w:val="20"/>
        </w:rPr>
      </w:pPr>
      <w:r w:rsidRPr="00E257A5">
        <w:rPr>
          <w:rFonts w:ascii="Arial" w:hAnsi="Arial" w:cs="Arial"/>
          <w:b/>
          <w:sz w:val="20"/>
          <w:szCs w:val="20"/>
        </w:rPr>
        <w:t>Informe N° 2:</w:t>
      </w:r>
      <w:r w:rsidRPr="00E257A5">
        <w:rPr>
          <w:rFonts w:ascii="Arial" w:hAnsi="Arial" w:cs="Arial"/>
          <w:sz w:val="20"/>
          <w:szCs w:val="20"/>
        </w:rPr>
        <w:tab/>
        <w:t>Dictamen del auditor independiente sobre el cumplimiento de cláusulas contractuales de carácter contable-financiero</w:t>
      </w:r>
      <w:r>
        <w:rPr>
          <w:rFonts w:ascii="Arial" w:hAnsi="Arial" w:cs="Arial"/>
          <w:sz w:val="20"/>
          <w:szCs w:val="20"/>
        </w:rPr>
        <w:t xml:space="preserve"> del convenio suscrito.</w:t>
      </w:r>
    </w:p>
    <w:p w:rsidR="002B0821" w:rsidRPr="00E257A5" w:rsidRDefault="002B0821" w:rsidP="002B0821">
      <w:pPr>
        <w:ind w:left="426"/>
        <w:jc w:val="both"/>
        <w:rPr>
          <w:rFonts w:ascii="Arial" w:hAnsi="Arial" w:cs="Arial"/>
          <w:b/>
          <w:iCs/>
          <w:sz w:val="20"/>
          <w:szCs w:val="20"/>
          <w:lang w:val="es-ES_tradnl"/>
        </w:rPr>
      </w:pPr>
      <w:r w:rsidRPr="00E257A5">
        <w:rPr>
          <w:rFonts w:ascii="Arial" w:hAnsi="Arial" w:cs="Arial"/>
          <w:b/>
          <w:iCs/>
          <w:sz w:val="20"/>
          <w:szCs w:val="20"/>
          <w:lang w:val="es-ES_tradnl"/>
        </w:rPr>
        <w:t>Cronograma de Trabajo:</w:t>
      </w:r>
      <w:r w:rsidRPr="00E257A5">
        <w:rPr>
          <w:rFonts w:ascii="Arial" w:hAnsi="Arial" w:cs="Arial"/>
          <w:iCs/>
          <w:sz w:val="20"/>
          <w:szCs w:val="20"/>
          <w:lang w:val="es-ES_tradnl"/>
        </w:rPr>
        <w:t xml:space="preserve"> La firma de auditoría deberá presentar un Cronograma de Trabajo de ejecución de la auditoría y presentación de informes, el mismo que permitirá realizar el seguimiento del servicio. Este documento deberá ser presentado </w:t>
      </w:r>
      <w:r w:rsidRPr="00E257A5">
        <w:rPr>
          <w:rFonts w:ascii="Arial" w:hAnsi="Arial" w:cs="Arial"/>
          <w:b/>
          <w:iCs/>
          <w:sz w:val="20"/>
          <w:szCs w:val="20"/>
          <w:lang w:val="es-ES_tradnl"/>
        </w:rPr>
        <w:t>para la firma de contrato</w:t>
      </w:r>
      <w:r w:rsidRPr="00E257A5">
        <w:rPr>
          <w:rFonts w:ascii="Arial" w:hAnsi="Arial" w:cs="Arial"/>
          <w:iCs/>
          <w:sz w:val="20"/>
          <w:szCs w:val="20"/>
          <w:lang w:val="es-ES_tradnl"/>
        </w:rPr>
        <w:t xml:space="preserve"> considerando los plazos</w:t>
      </w:r>
      <w:r>
        <w:rPr>
          <w:rFonts w:ascii="Arial" w:hAnsi="Arial" w:cs="Arial"/>
          <w:iCs/>
          <w:sz w:val="20"/>
          <w:szCs w:val="20"/>
          <w:lang w:val="es-ES_tradnl"/>
        </w:rPr>
        <w:t xml:space="preserve"> establecidos en este documento.</w:t>
      </w:r>
    </w:p>
    <w:p w:rsidR="002B0821" w:rsidRPr="00E257A5" w:rsidRDefault="002B0821" w:rsidP="002B0821">
      <w:pPr>
        <w:ind w:left="426"/>
        <w:jc w:val="both"/>
        <w:rPr>
          <w:rFonts w:ascii="Arial" w:hAnsi="Arial" w:cs="Arial"/>
          <w:sz w:val="20"/>
          <w:szCs w:val="20"/>
        </w:rPr>
      </w:pPr>
      <w:r w:rsidRPr="00E257A5">
        <w:rPr>
          <w:rFonts w:ascii="Arial" w:hAnsi="Arial" w:cs="Arial"/>
          <w:sz w:val="20"/>
          <w:szCs w:val="20"/>
        </w:rPr>
        <w:t xml:space="preserve">Los informes citados deberán ser presentados en dos (02) ejemplares, incluyendo CD con la citada información en formatos de Microsoft Office. </w:t>
      </w:r>
    </w:p>
    <w:p w:rsidR="002B0821" w:rsidRPr="00E257A5" w:rsidRDefault="002B0821" w:rsidP="002B0821">
      <w:pPr>
        <w:ind w:left="426"/>
        <w:jc w:val="both"/>
        <w:rPr>
          <w:rFonts w:ascii="Arial" w:hAnsi="Arial" w:cs="Arial"/>
          <w:sz w:val="20"/>
          <w:szCs w:val="20"/>
        </w:rPr>
      </w:pPr>
      <w:r w:rsidRPr="00E257A5">
        <w:rPr>
          <w:rFonts w:ascii="Arial" w:hAnsi="Arial" w:cs="Arial"/>
          <w:sz w:val="20"/>
          <w:szCs w:val="20"/>
        </w:rPr>
        <w:lastRenderedPageBreak/>
        <w:t>Asimismo, a solicitud de la Contraparte designada por la CSBP, la firma de auditoría presentará informes periódicos de progreso o avance de sus actividades con el objeto de realizar, entre otros, el seguimiento al Cronograma de Trabajo. En caso de producirse atraso en algunas actividades, indicará las medidas correctivas adoptadas para subsanar tal situación.</w:t>
      </w:r>
    </w:p>
    <w:p w:rsidR="002B0821" w:rsidRPr="00E257A5" w:rsidRDefault="002B0821" w:rsidP="002B0821">
      <w:pPr>
        <w:numPr>
          <w:ilvl w:val="1"/>
          <w:numId w:val="18"/>
        </w:numPr>
        <w:tabs>
          <w:tab w:val="num" w:pos="426"/>
        </w:tabs>
        <w:spacing w:after="0" w:line="240" w:lineRule="auto"/>
        <w:ind w:left="284" w:hanging="284"/>
        <w:jc w:val="both"/>
        <w:rPr>
          <w:rFonts w:ascii="Arial" w:hAnsi="Arial" w:cs="Arial"/>
          <w:sz w:val="20"/>
          <w:szCs w:val="20"/>
        </w:rPr>
      </w:pPr>
      <w:r w:rsidRPr="00E257A5">
        <w:rPr>
          <w:rFonts w:ascii="Arial" w:hAnsi="Arial" w:cs="Arial"/>
          <w:b/>
          <w:bCs/>
          <w:sz w:val="20"/>
          <w:szCs w:val="20"/>
        </w:rPr>
        <w:t>PLAZO DE EJECUCIÓN DEL SERVICIO Y PRESENTACIÓN DE PRODUCTOS</w:t>
      </w:r>
    </w:p>
    <w:p w:rsidR="002B0821" w:rsidRPr="00E257A5" w:rsidRDefault="002B0821" w:rsidP="002B0821">
      <w:pPr>
        <w:tabs>
          <w:tab w:val="num" w:pos="1440"/>
        </w:tabs>
        <w:spacing w:after="0" w:line="240" w:lineRule="auto"/>
        <w:ind w:left="284"/>
        <w:jc w:val="both"/>
        <w:rPr>
          <w:rFonts w:ascii="Arial" w:hAnsi="Arial" w:cs="Arial"/>
          <w:sz w:val="20"/>
          <w:szCs w:val="20"/>
        </w:rPr>
      </w:pPr>
    </w:p>
    <w:p w:rsidR="002B0821" w:rsidRPr="00E257A5" w:rsidRDefault="002B0821" w:rsidP="002B0821">
      <w:pPr>
        <w:ind w:left="426"/>
        <w:jc w:val="both"/>
        <w:rPr>
          <w:rFonts w:ascii="Arial" w:hAnsi="Arial" w:cs="Arial"/>
          <w:sz w:val="20"/>
          <w:szCs w:val="20"/>
        </w:rPr>
      </w:pPr>
      <w:r w:rsidRPr="00E257A5">
        <w:rPr>
          <w:rFonts w:ascii="Arial" w:hAnsi="Arial" w:cs="Arial"/>
          <w:sz w:val="20"/>
          <w:szCs w:val="20"/>
        </w:rPr>
        <w:t xml:space="preserve">El plazo de ejecución del servicio de auditoría será de </w:t>
      </w:r>
      <w:r w:rsidRPr="00E257A5">
        <w:rPr>
          <w:rFonts w:ascii="Arial" w:hAnsi="Arial" w:cs="Arial"/>
          <w:b/>
          <w:sz w:val="20"/>
          <w:szCs w:val="20"/>
        </w:rPr>
        <w:t>30 días hábiles</w:t>
      </w:r>
      <w:r w:rsidRPr="00E257A5">
        <w:rPr>
          <w:rFonts w:ascii="Arial" w:hAnsi="Arial" w:cs="Arial"/>
          <w:sz w:val="20"/>
          <w:szCs w:val="20"/>
        </w:rPr>
        <w:t>, a partir de la orden de proceder, que estará dividido en los siguientes productos y plazos referenciales:</w:t>
      </w:r>
    </w:p>
    <w:p w:rsidR="002B0821" w:rsidRPr="00E257A5" w:rsidRDefault="002B0821" w:rsidP="002B0821">
      <w:pPr>
        <w:spacing w:after="0"/>
        <w:ind w:left="77" w:firstLine="709"/>
        <w:jc w:val="both"/>
        <w:rPr>
          <w:rFonts w:ascii="Arial" w:hAnsi="Arial" w:cs="Arial"/>
          <w:b/>
          <w:sz w:val="20"/>
          <w:szCs w:val="20"/>
        </w:rPr>
      </w:pPr>
      <w:r w:rsidRPr="00E257A5">
        <w:rPr>
          <w:rFonts w:ascii="Arial" w:hAnsi="Arial" w:cs="Arial"/>
          <w:b/>
          <w:sz w:val="20"/>
          <w:szCs w:val="20"/>
        </w:rPr>
        <w:t>Hasta el día 30</w:t>
      </w:r>
    </w:p>
    <w:p w:rsidR="002B0821" w:rsidRPr="00E257A5" w:rsidRDefault="002B0821" w:rsidP="002B0821">
      <w:pPr>
        <w:pStyle w:val="Prrafodelista"/>
        <w:numPr>
          <w:ilvl w:val="0"/>
          <w:numId w:val="22"/>
        </w:numPr>
        <w:spacing w:after="0"/>
        <w:jc w:val="both"/>
        <w:rPr>
          <w:rFonts w:ascii="Arial" w:hAnsi="Arial" w:cs="Arial"/>
          <w:sz w:val="20"/>
          <w:szCs w:val="20"/>
        </w:rPr>
      </w:pPr>
      <w:r w:rsidRPr="00E257A5">
        <w:rPr>
          <w:rFonts w:ascii="Arial" w:hAnsi="Arial" w:cs="Arial"/>
          <w:sz w:val="20"/>
          <w:szCs w:val="20"/>
        </w:rPr>
        <w:t xml:space="preserve">Dictamen del auditor independiente sobre la razonabilidad de los estados financieros de la gestión </w:t>
      </w:r>
      <w:r>
        <w:rPr>
          <w:rFonts w:ascii="Arial" w:hAnsi="Arial" w:cs="Arial"/>
          <w:sz w:val="20"/>
          <w:szCs w:val="20"/>
        </w:rPr>
        <w:t>2020</w:t>
      </w:r>
      <w:r w:rsidRPr="00E257A5">
        <w:rPr>
          <w:rFonts w:ascii="Arial" w:hAnsi="Arial" w:cs="Arial"/>
          <w:sz w:val="20"/>
          <w:szCs w:val="20"/>
        </w:rPr>
        <w:t>, de acuerdo a las bases de opinión.</w:t>
      </w:r>
    </w:p>
    <w:p w:rsidR="002B0821" w:rsidRPr="00E257A5" w:rsidRDefault="002B0821" w:rsidP="002B0821">
      <w:pPr>
        <w:pStyle w:val="Prrafodelista"/>
        <w:numPr>
          <w:ilvl w:val="0"/>
          <w:numId w:val="22"/>
        </w:numPr>
        <w:jc w:val="both"/>
        <w:rPr>
          <w:rFonts w:ascii="Arial" w:hAnsi="Arial" w:cs="Arial"/>
          <w:sz w:val="20"/>
          <w:szCs w:val="20"/>
        </w:rPr>
      </w:pPr>
      <w:r w:rsidRPr="00E257A5">
        <w:rPr>
          <w:rFonts w:ascii="Arial" w:hAnsi="Arial" w:cs="Arial"/>
          <w:sz w:val="20"/>
          <w:szCs w:val="20"/>
        </w:rPr>
        <w:t>Dictamen del auditor independiente sobre el cumplimiento de cláusulas contractuales  de carácter contable-financiero.</w:t>
      </w:r>
    </w:p>
    <w:p w:rsidR="002B0821" w:rsidRPr="00E257A5" w:rsidRDefault="002B0821" w:rsidP="002B0821">
      <w:pPr>
        <w:ind w:left="426"/>
        <w:jc w:val="both"/>
        <w:rPr>
          <w:rFonts w:ascii="Arial" w:hAnsi="Arial" w:cs="Arial"/>
          <w:b/>
          <w:sz w:val="20"/>
          <w:szCs w:val="20"/>
        </w:rPr>
      </w:pPr>
      <w:r w:rsidRPr="00E257A5">
        <w:rPr>
          <w:rFonts w:ascii="Arial" w:hAnsi="Arial" w:cs="Arial"/>
          <w:sz w:val="20"/>
          <w:szCs w:val="20"/>
        </w:rPr>
        <w:t xml:space="preserve">El Plan y Cronograma de Trabajo de la empresa auditora deberá ajustarse al plazo previsto de </w:t>
      </w:r>
      <w:r w:rsidRPr="00E257A5">
        <w:rPr>
          <w:rFonts w:ascii="Arial" w:hAnsi="Arial" w:cs="Arial"/>
          <w:b/>
          <w:sz w:val="20"/>
          <w:szCs w:val="20"/>
        </w:rPr>
        <w:t>treinta (30)</w:t>
      </w:r>
      <w:r w:rsidRPr="00E257A5">
        <w:rPr>
          <w:rFonts w:ascii="Arial" w:hAnsi="Arial" w:cs="Arial"/>
          <w:sz w:val="20"/>
          <w:szCs w:val="20"/>
        </w:rPr>
        <w:t xml:space="preserve"> </w:t>
      </w:r>
      <w:r w:rsidRPr="00E257A5">
        <w:rPr>
          <w:rFonts w:ascii="Arial" w:hAnsi="Arial" w:cs="Arial"/>
          <w:b/>
          <w:sz w:val="20"/>
          <w:szCs w:val="20"/>
        </w:rPr>
        <w:t>días hábiles para la ejecución del servicio.</w:t>
      </w:r>
    </w:p>
    <w:p w:rsidR="002B0821" w:rsidRPr="00E257A5" w:rsidRDefault="002B0821" w:rsidP="002B0821">
      <w:pPr>
        <w:numPr>
          <w:ilvl w:val="1"/>
          <w:numId w:val="18"/>
        </w:numPr>
        <w:tabs>
          <w:tab w:val="num" w:pos="426"/>
        </w:tabs>
        <w:spacing w:after="0" w:line="240" w:lineRule="auto"/>
        <w:ind w:left="284" w:hanging="284"/>
        <w:jc w:val="both"/>
        <w:rPr>
          <w:rFonts w:ascii="Arial" w:hAnsi="Arial" w:cs="Arial"/>
          <w:b/>
          <w:sz w:val="20"/>
          <w:szCs w:val="20"/>
        </w:rPr>
      </w:pPr>
      <w:r w:rsidRPr="00E257A5">
        <w:rPr>
          <w:rFonts w:ascii="Arial" w:hAnsi="Arial" w:cs="Arial"/>
          <w:b/>
          <w:sz w:val="20"/>
          <w:szCs w:val="20"/>
        </w:rPr>
        <w:t>OPINIÓN DEL AUDITOR EXTERNO</w:t>
      </w:r>
    </w:p>
    <w:p w:rsidR="002B0821" w:rsidRPr="00E257A5" w:rsidRDefault="002B0821" w:rsidP="002B0821">
      <w:pPr>
        <w:tabs>
          <w:tab w:val="num" w:pos="1440"/>
        </w:tabs>
        <w:spacing w:after="0" w:line="240" w:lineRule="auto"/>
        <w:ind w:left="284"/>
        <w:jc w:val="both"/>
        <w:rPr>
          <w:rFonts w:ascii="Arial" w:hAnsi="Arial" w:cs="Arial"/>
          <w:b/>
          <w:sz w:val="20"/>
          <w:szCs w:val="20"/>
        </w:rPr>
      </w:pPr>
    </w:p>
    <w:p w:rsidR="002B0821" w:rsidRPr="00E257A5" w:rsidRDefault="002B0821" w:rsidP="002B0821">
      <w:pPr>
        <w:ind w:left="426"/>
        <w:jc w:val="both"/>
        <w:rPr>
          <w:rFonts w:ascii="Arial" w:hAnsi="Arial" w:cs="Arial"/>
          <w:sz w:val="20"/>
          <w:szCs w:val="20"/>
        </w:rPr>
      </w:pPr>
      <w:r w:rsidRPr="00E257A5">
        <w:rPr>
          <w:rFonts w:ascii="Arial" w:hAnsi="Arial" w:cs="Arial"/>
          <w:sz w:val="20"/>
          <w:szCs w:val="20"/>
        </w:rPr>
        <w:t>De acuerdo a las Normas de Auditoría, el Dictamen de Auditoría deberá contener como mínimo lo siguiente:</w:t>
      </w:r>
    </w:p>
    <w:p w:rsidR="002B0821" w:rsidRPr="00E257A5" w:rsidRDefault="002B0821" w:rsidP="002B0821">
      <w:pPr>
        <w:numPr>
          <w:ilvl w:val="0"/>
          <w:numId w:val="19"/>
        </w:numPr>
        <w:tabs>
          <w:tab w:val="left" w:pos="540"/>
          <w:tab w:val="num" w:pos="1353"/>
        </w:tabs>
        <w:spacing w:after="0" w:line="240" w:lineRule="auto"/>
        <w:ind w:left="1136" w:hanging="426"/>
        <w:jc w:val="both"/>
        <w:rPr>
          <w:rFonts w:ascii="Arial" w:hAnsi="Arial" w:cs="Arial"/>
          <w:sz w:val="20"/>
          <w:szCs w:val="20"/>
        </w:rPr>
      </w:pPr>
      <w:r w:rsidRPr="00E257A5">
        <w:rPr>
          <w:rFonts w:ascii="Arial" w:hAnsi="Arial" w:cs="Arial"/>
          <w:sz w:val="20"/>
          <w:szCs w:val="20"/>
        </w:rPr>
        <w:t>Identificación completa de los estados financieros examinados.</w:t>
      </w:r>
    </w:p>
    <w:p w:rsidR="002B0821" w:rsidRPr="00E257A5" w:rsidRDefault="002B0821" w:rsidP="002B0821">
      <w:pPr>
        <w:numPr>
          <w:ilvl w:val="0"/>
          <w:numId w:val="19"/>
        </w:numPr>
        <w:tabs>
          <w:tab w:val="left" w:pos="540"/>
          <w:tab w:val="num" w:pos="1353"/>
        </w:tabs>
        <w:spacing w:after="0" w:line="240" w:lineRule="auto"/>
        <w:ind w:left="1136" w:hanging="426"/>
        <w:jc w:val="both"/>
        <w:rPr>
          <w:rFonts w:ascii="Arial" w:hAnsi="Arial" w:cs="Arial"/>
          <w:sz w:val="20"/>
          <w:szCs w:val="20"/>
        </w:rPr>
      </w:pPr>
      <w:r w:rsidRPr="00E257A5">
        <w:rPr>
          <w:rFonts w:ascii="Arial" w:hAnsi="Arial" w:cs="Arial"/>
          <w:sz w:val="20"/>
          <w:szCs w:val="20"/>
        </w:rPr>
        <w:t>Alcance del examen efectuado.</w:t>
      </w:r>
    </w:p>
    <w:p w:rsidR="002B0821" w:rsidRPr="00E257A5" w:rsidRDefault="002B0821" w:rsidP="002B0821">
      <w:pPr>
        <w:numPr>
          <w:ilvl w:val="0"/>
          <w:numId w:val="19"/>
        </w:numPr>
        <w:tabs>
          <w:tab w:val="left" w:pos="540"/>
          <w:tab w:val="num" w:pos="1353"/>
        </w:tabs>
        <w:spacing w:after="0" w:line="240" w:lineRule="auto"/>
        <w:ind w:left="1136" w:hanging="426"/>
        <w:jc w:val="both"/>
        <w:rPr>
          <w:rFonts w:ascii="Arial" w:hAnsi="Arial" w:cs="Arial"/>
          <w:sz w:val="20"/>
          <w:szCs w:val="20"/>
        </w:rPr>
      </w:pPr>
      <w:r w:rsidRPr="00E257A5">
        <w:rPr>
          <w:rFonts w:ascii="Arial" w:hAnsi="Arial" w:cs="Arial"/>
          <w:sz w:val="20"/>
          <w:szCs w:val="20"/>
        </w:rPr>
        <w:t>Opinión del auditor sobre los estados financieros y cumplimiento de cláusulas contractuales</w:t>
      </w:r>
    </w:p>
    <w:p w:rsidR="002B0821" w:rsidRPr="00E257A5" w:rsidRDefault="002B0821" w:rsidP="002B0821">
      <w:pPr>
        <w:tabs>
          <w:tab w:val="num" w:pos="1440"/>
        </w:tabs>
        <w:spacing w:after="0" w:line="240" w:lineRule="auto"/>
        <w:ind w:left="284"/>
        <w:jc w:val="both"/>
        <w:rPr>
          <w:rFonts w:ascii="Arial" w:hAnsi="Arial" w:cs="Arial"/>
          <w:b/>
          <w:sz w:val="20"/>
          <w:szCs w:val="20"/>
        </w:rPr>
      </w:pPr>
    </w:p>
    <w:p w:rsidR="002B0821" w:rsidRPr="00E257A5" w:rsidRDefault="002B0821" w:rsidP="002B0821">
      <w:pPr>
        <w:numPr>
          <w:ilvl w:val="1"/>
          <w:numId w:val="18"/>
        </w:numPr>
        <w:tabs>
          <w:tab w:val="num" w:pos="426"/>
        </w:tabs>
        <w:spacing w:after="0" w:line="240" w:lineRule="auto"/>
        <w:ind w:left="284" w:hanging="284"/>
        <w:jc w:val="both"/>
        <w:rPr>
          <w:rFonts w:ascii="Arial" w:hAnsi="Arial" w:cs="Arial"/>
          <w:b/>
          <w:sz w:val="20"/>
          <w:szCs w:val="20"/>
        </w:rPr>
      </w:pPr>
      <w:r w:rsidRPr="00E257A5">
        <w:rPr>
          <w:rFonts w:ascii="Arial" w:hAnsi="Arial" w:cs="Arial"/>
          <w:b/>
          <w:sz w:val="20"/>
          <w:szCs w:val="20"/>
        </w:rPr>
        <w:t>CONFIDENCIALIDAD Y PROPIEDAD DE LOS TRABAJOS</w:t>
      </w:r>
    </w:p>
    <w:p w:rsidR="002B0821" w:rsidRPr="00E257A5" w:rsidRDefault="002B0821" w:rsidP="002B0821">
      <w:pPr>
        <w:tabs>
          <w:tab w:val="num" w:pos="1440"/>
        </w:tabs>
        <w:spacing w:after="0" w:line="240" w:lineRule="auto"/>
        <w:ind w:left="284"/>
        <w:jc w:val="both"/>
        <w:rPr>
          <w:rFonts w:ascii="Arial" w:hAnsi="Arial" w:cs="Arial"/>
          <w:b/>
          <w:sz w:val="20"/>
          <w:szCs w:val="20"/>
        </w:rPr>
      </w:pPr>
    </w:p>
    <w:p w:rsidR="002B0821" w:rsidRPr="00E257A5" w:rsidRDefault="002B0821" w:rsidP="002B0821">
      <w:pPr>
        <w:ind w:left="426"/>
        <w:jc w:val="both"/>
        <w:rPr>
          <w:rFonts w:ascii="Arial" w:hAnsi="Arial" w:cs="Arial"/>
          <w:sz w:val="20"/>
          <w:szCs w:val="20"/>
        </w:rPr>
      </w:pPr>
      <w:r w:rsidRPr="00E257A5">
        <w:rPr>
          <w:rFonts w:ascii="Arial" w:hAnsi="Arial" w:cs="Arial"/>
          <w:sz w:val="20"/>
          <w:szCs w:val="20"/>
        </w:rPr>
        <w:t>El Proponente se compromete a mantener en reserva y confidencialidad todos los datos e información que la CSBP le proporcione.</w:t>
      </w:r>
    </w:p>
    <w:p w:rsidR="002B0821" w:rsidRPr="00E257A5" w:rsidRDefault="002B0821" w:rsidP="002B0821">
      <w:pPr>
        <w:ind w:left="426"/>
        <w:jc w:val="both"/>
        <w:rPr>
          <w:rFonts w:ascii="Arial" w:hAnsi="Arial" w:cs="Arial"/>
          <w:sz w:val="20"/>
          <w:szCs w:val="20"/>
        </w:rPr>
      </w:pPr>
      <w:r w:rsidRPr="00E257A5">
        <w:rPr>
          <w:rFonts w:ascii="Arial" w:hAnsi="Arial" w:cs="Arial"/>
          <w:sz w:val="20"/>
          <w:szCs w:val="20"/>
        </w:rPr>
        <w:t>Los informes originales que elabore la firma de auditoría con relación al servicio, serán de propiedad de la CSBP y en consecuencia, deberán ser entregados en su totalidad en físico a la terminación del servicio. Estará absolutamente prohibido difundir dicha documentación, total o parcialmente, sin consentimiento previo y por escrito de las autoridades competentes de La CSBP.</w:t>
      </w:r>
    </w:p>
    <w:p w:rsidR="002B0821" w:rsidRPr="00E257A5" w:rsidRDefault="002B0821" w:rsidP="002B0821">
      <w:pPr>
        <w:ind w:left="426"/>
        <w:jc w:val="both"/>
        <w:rPr>
          <w:rFonts w:ascii="Arial" w:hAnsi="Arial" w:cs="Arial"/>
          <w:sz w:val="20"/>
          <w:szCs w:val="20"/>
        </w:rPr>
      </w:pPr>
      <w:r w:rsidRPr="00E257A5">
        <w:rPr>
          <w:rFonts w:ascii="Arial" w:hAnsi="Arial" w:cs="Arial"/>
          <w:sz w:val="20"/>
          <w:szCs w:val="20"/>
        </w:rPr>
        <w:t>Asimismo, los respectivos papeles de trabajo serán de propiedad de la firma de auditoría y deberán estar disponibles en dependencias de la misma para inspección, revisión o consulta por parte de la CSBP, otros auditores contratados y las autoridades competentes, durante los plazos establecidos por Ley.</w:t>
      </w:r>
    </w:p>
    <w:p w:rsidR="002B0821" w:rsidRPr="00E257A5" w:rsidRDefault="002B0821" w:rsidP="002B0821">
      <w:pPr>
        <w:spacing w:after="0" w:line="240" w:lineRule="auto"/>
        <w:jc w:val="both"/>
        <w:rPr>
          <w:rFonts w:ascii="Arial" w:hAnsi="Arial" w:cs="Arial"/>
          <w:b/>
          <w:sz w:val="20"/>
          <w:szCs w:val="20"/>
        </w:rPr>
      </w:pPr>
      <w:r>
        <w:rPr>
          <w:rFonts w:ascii="Arial" w:hAnsi="Arial" w:cs="Arial"/>
          <w:b/>
          <w:sz w:val="20"/>
          <w:szCs w:val="20"/>
        </w:rPr>
        <w:t xml:space="preserve">9.  </w:t>
      </w:r>
      <w:r w:rsidRPr="00E257A5">
        <w:rPr>
          <w:rFonts w:ascii="Arial" w:hAnsi="Arial" w:cs="Arial"/>
          <w:b/>
          <w:sz w:val="20"/>
          <w:szCs w:val="20"/>
        </w:rPr>
        <w:t>APROBACIÓN DE INFORMES</w:t>
      </w:r>
    </w:p>
    <w:p w:rsidR="002B0821" w:rsidRPr="00E257A5" w:rsidRDefault="002B0821" w:rsidP="002B0821">
      <w:pPr>
        <w:spacing w:after="0" w:line="240" w:lineRule="auto"/>
        <w:ind w:left="420"/>
        <w:jc w:val="both"/>
        <w:rPr>
          <w:rFonts w:ascii="Arial" w:hAnsi="Arial" w:cs="Arial"/>
          <w:b/>
          <w:sz w:val="20"/>
          <w:szCs w:val="20"/>
        </w:rPr>
      </w:pPr>
    </w:p>
    <w:p w:rsidR="002B0821" w:rsidRPr="00E257A5" w:rsidRDefault="002B0821" w:rsidP="002B0821">
      <w:pPr>
        <w:ind w:left="426"/>
        <w:jc w:val="both"/>
        <w:rPr>
          <w:rFonts w:ascii="Arial" w:hAnsi="Arial" w:cs="Arial"/>
          <w:sz w:val="20"/>
          <w:szCs w:val="20"/>
          <w:lang w:val="es-ES_tradnl"/>
        </w:rPr>
      </w:pPr>
      <w:r w:rsidRPr="00E257A5">
        <w:rPr>
          <w:rFonts w:ascii="Arial" w:hAnsi="Arial" w:cs="Arial"/>
          <w:sz w:val="20"/>
          <w:szCs w:val="20"/>
          <w:lang w:val="es-ES_tradnl"/>
        </w:rPr>
        <w:t>La Contraparte, una vez recibidos los informes descritos en el numeral 5 y sus componentes que emerjan de la auditoría, efectuará la revisión de los aspectos formales y hará conocer a la firma de auditoría sus observaciones dentro del plazo máximo de diez (10) días hábiles computados a partir de la fecha de su presentación. Si dentro los días establecidos, la Contraparte no envía sus observaciones a la firma de auditoría, se considerarán aprobados los informes.</w:t>
      </w:r>
    </w:p>
    <w:p w:rsidR="002B0821" w:rsidRPr="00E257A5" w:rsidRDefault="002B0821" w:rsidP="002B0821">
      <w:pPr>
        <w:ind w:left="426"/>
        <w:jc w:val="both"/>
        <w:rPr>
          <w:rFonts w:ascii="Arial" w:hAnsi="Arial" w:cs="Arial"/>
          <w:sz w:val="20"/>
          <w:szCs w:val="20"/>
          <w:lang w:val="es-ES_tradnl"/>
        </w:rPr>
      </w:pPr>
      <w:r w:rsidRPr="00E257A5">
        <w:rPr>
          <w:rFonts w:ascii="Arial" w:hAnsi="Arial" w:cs="Arial"/>
          <w:sz w:val="20"/>
          <w:szCs w:val="20"/>
          <w:lang w:val="es-ES_tradnl"/>
        </w:rPr>
        <w:t>La firma de auditoría, se obliga a satisfacer dentro del plazo de cinco (5) días hábiles de su recepción, cualquier pedido de aclaración u observación efectuada por la Contraparte; el incumplimiento del plazo establecido genera multas por cada día de retraso.</w:t>
      </w:r>
    </w:p>
    <w:p w:rsidR="002B0821" w:rsidRPr="00E257A5" w:rsidRDefault="002B0821" w:rsidP="002B0821">
      <w:pPr>
        <w:ind w:left="426"/>
        <w:jc w:val="both"/>
        <w:rPr>
          <w:rFonts w:ascii="Arial" w:hAnsi="Arial" w:cs="Arial"/>
          <w:sz w:val="20"/>
          <w:szCs w:val="20"/>
          <w:lang w:val="es-ES_tradnl"/>
        </w:rPr>
      </w:pPr>
      <w:r w:rsidRPr="00E257A5">
        <w:rPr>
          <w:rFonts w:ascii="Arial" w:hAnsi="Arial" w:cs="Arial"/>
          <w:sz w:val="20"/>
          <w:szCs w:val="20"/>
          <w:lang w:val="es-ES_tradnl"/>
        </w:rPr>
        <w:t xml:space="preserve">Aprobados los informes por la Contraparte se remitirá a la Comisión de Recepción para que </w:t>
      </w:r>
      <w:proofErr w:type="spellStart"/>
      <w:r w:rsidRPr="00E257A5">
        <w:rPr>
          <w:rFonts w:ascii="Arial" w:hAnsi="Arial" w:cs="Arial"/>
          <w:sz w:val="20"/>
          <w:szCs w:val="20"/>
          <w:lang w:val="es-ES_tradnl"/>
        </w:rPr>
        <w:t>recepcione</w:t>
      </w:r>
      <w:proofErr w:type="spellEnd"/>
      <w:r w:rsidRPr="00E257A5">
        <w:rPr>
          <w:rFonts w:ascii="Arial" w:hAnsi="Arial" w:cs="Arial"/>
          <w:sz w:val="20"/>
          <w:szCs w:val="20"/>
          <w:lang w:val="es-ES_tradnl"/>
        </w:rPr>
        <w:t xml:space="preserve"> y analice los informes emitidos por la firma de auditoría de acuerdo con lo establecido en los presentes Términos de Referencia, la propuesta técnica, el cronograma de trabajo y las condiciones del contrato, en caso de no existir observaciones aprobará los mismos y elaborará el Informe de Conformidad. Sin embargo, en caso de que los informes presenten observaciones, éstos serán devueltos a la firma de auditoría, la misma que se obliga a satisfacer dentro del plazo de tres (3) días hábiles de su recepción, cualquier pedido de aclaración u observación efectuado por la Comisión de Recepción; el incumplimiento del plazo establecido genera multas por cada día de retraso.</w:t>
      </w:r>
    </w:p>
    <w:p w:rsidR="002B0821" w:rsidRPr="00E257A5" w:rsidRDefault="002B0821" w:rsidP="002B0821">
      <w:pPr>
        <w:spacing w:after="0" w:line="240" w:lineRule="auto"/>
        <w:jc w:val="both"/>
        <w:rPr>
          <w:rFonts w:ascii="Arial" w:hAnsi="Arial" w:cs="Arial"/>
          <w:b/>
          <w:sz w:val="20"/>
          <w:szCs w:val="20"/>
        </w:rPr>
      </w:pPr>
      <w:r>
        <w:rPr>
          <w:rFonts w:ascii="Arial" w:hAnsi="Arial" w:cs="Arial"/>
          <w:b/>
          <w:sz w:val="20"/>
          <w:szCs w:val="20"/>
        </w:rPr>
        <w:t xml:space="preserve">10. </w:t>
      </w:r>
      <w:r w:rsidRPr="00E257A5">
        <w:rPr>
          <w:rFonts w:ascii="Arial" w:hAnsi="Arial" w:cs="Arial"/>
          <w:b/>
          <w:sz w:val="20"/>
          <w:szCs w:val="20"/>
        </w:rPr>
        <w:t>RÉGIMEN DE GARANTÍAS</w:t>
      </w:r>
    </w:p>
    <w:p w:rsidR="002B0821" w:rsidRPr="00E257A5" w:rsidRDefault="002B0821" w:rsidP="002B0821">
      <w:pPr>
        <w:spacing w:after="0" w:line="240" w:lineRule="auto"/>
        <w:ind w:left="420"/>
        <w:jc w:val="both"/>
        <w:rPr>
          <w:rFonts w:ascii="Arial" w:hAnsi="Arial" w:cs="Arial"/>
          <w:b/>
          <w:sz w:val="20"/>
          <w:szCs w:val="20"/>
        </w:rPr>
      </w:pPr>
    </w:p>
    <w:p w:rsidR="002B0821" w:rsidRPr="00E257A5" w:rsidRDefault="002B0821" w:rsidP="002B0821">
      <w:pPr>
        <w:ind w:left="426"/>
        <w:jc w:val="both"/>
        <w:rPr>
          <w:rFonts w:ascii="Arial" w:hAnsi="Arial" w:cs="Arial"/>
          <w:sz w:val="20"/>
          <w:szCs w:val="20"/>
          <w:lang w:val="es-ES_tradnl"/>
        </w:rPr>
      </w:pPr>
      <w:r w:rsidRPr="00E257A5">
        <w:rPr>
          <w:rFonts w:ascii="Arial" w:hAnsi="Arial" w:cs="Arial"/>
          <w:sz w:val="20"/>
          <w:szCs w:val="20"/>
          <w:lang w:val="es-ES_tradnl"/>
        </w:rPr>
        <w:t>La firma de auditoría adjudicada deberá presentar las siguientes garantías:</w:t>
      </w:r>
    </w:p>
    <w:p w:rsidR="002B0821" w:rsidRPr="00E257A5" w:rsidRDefault="002B0821" w:rsidP="002B0821">
      <w:pPr>
        <w:numPr>
          <w:ilvl w:val="0"/>
          <w:numId w:val="20"/>
        </w:numPr>
        <w:spacing w:after="0" w:line="240" w:lineRule="auto"/>
        <w:ind w:hanging="294"/>
        <w:jc w:val="both"/>
        <w:rPr>
          <w:rFonts w:ascii="Arial" w:hAnsi="Arial" w:cs="Arial"/>
          <w:b/>
          <w:sz w:val="20"/>
          <w:szCs w:val="20"/>
          <w:lang w:val="es-ES"/>
        </w:rPr>
      </w:pPr>
      <w:r w:rsidRPr="00E257A5">
        <w:rPr>
          <w:rFonts w:ascii="Arial" w:hAnsi="Arial" w:cs="Arial"/>
          <w:b/>
          <w:sz w:val="20"/>
          <w:szCs w:val="20"/>
        </w:rPr>
        <w:t xml:space="preserve">Garantía de Correcta Inversión de Anticipo: </w:t>
      </w:r>
      <w:r w:rsidRPr="00E257A5">
        <w:rPr>
          <w:rFonts w:ascii="Arial" w:hAnsi="Arial" w:cs="Arial"/>
          <w:sz w:val="20"/>
          <w:szCs w:val="20"/>
        </w:rPr>
        <w:t>En caso de que el proponente adjudicado requiera anticipo, deberá presentar una Boleta Bancaria para garantizar la correcta inversión de anticipo, equivalente al cien por ciento (100%) del anticipo solicitado.</w:t>
      </w:r>
    </w:p>
    <w:p w:rsidR="002B0821" w:rsidRPr="00E257A5" w:rsidRDefault="002B0821" w:rsidP="002B0821">
      <w:pPr>
        <w:spacing w:after="0" w:line="240" w:lineRule="auto"/>
        <w:jc w:val="both"/>
        <w:rPr>
          <w:rFonts w:ascii="Arial" w:hAnsi="Arial" w:cs="Arial"/>
          <w:b/>
          <w:sz w:val="20"/>
          <w:szCs w:val="20"/>
          <w:lang w:val="es-ES"/>
        </w:rPr>
      </w:pPr>
    </w:p>
    <w:p w:rsidR="002B0821" w:rsidRPr="00E257A5" w:rsidRDefault="002B0821" w:rsidP="002B0821">
      <w:pPr>
        <w:spacing w:after="0" w:line="240" w:lineRule="auto"/>
        <w:jc w:val="both"/>
        <w:rPr>
          <w:rFonts w:ascii="Arial" w:hAnsi="Arial" w:cs="Arial"/>
          <w:b/>
          <w:sz w:val="20"/>
          <w:szCs w:val="20"/>
        </w:rPr>
      </w:pPr>
      <w:r>
        <w:rPr>
          <w:rFonts w:ascii="Arial" w:hAnsi="Arial" w:cs="Arial"/>
          <w:b/>
          <w:sz w:val="20"/>
          <w:szCs w:val="20"/>
        </w:rPr>
        <w:t xml:space="preserve">11. </w:t>
      </w:r>
      <w:r w:rsidRPr="00E257A5">
        <w:rPr>
          <w:rFonts w:ascii="Arial" w:hAnsi="Arial" w:cs="Arial"/>
          <w:b/>
          <w:sz w:val="20"/>
          <w:szCs w:val="20"/>
        </w:rPr>
        <w:t>PROGRAMA DE PAGOS</w:t>
      </w:r>
    </w:p>
    <w:p w:rsidR="002B0821" w:rsidRPr="00E257A5" w:rsidRDefault="002B0821" w:rsidP="002B0821">
      <w:pPr>
        <w:spacing w:after="0" w:line="240" w:lineRule="auto"/>
        <w:jc w:val="both"/>
        <w:rPr>
          <w:rFonts w:ascii="Arial" w:hAnsi="Arial" w:cs="Arial"/>
          <w:b/>
          <w:sz w:val="20"/>
          <w:szCs w:val="20"/>
        </w:rPr>
      </w:pPr>
    </w:p>
    <w:p w:rsidR="002B0821" w:rsidRPr="00E257A5" w:rsidRDefault="002B0821" w:rsidP="002B0821">
      <w:pPr>
        <w:tabs>
          <w:tab w:val="right" w:pos="8016"/>
        </w:tabs>
        <w:ind w:left="426"/>
        <w:jc w:val="both"/>
        <w:rPr>
          <w:rFonts w:ascii="Arial" w:hAnsi="Arial" w:cs="Arial"/>
          <w:sz w:val="20"/>
          <w:szCs w:val="20"/>
        </w:rPr>
      </w:pPr>
      <w:r w:rsidRPr="00E257A5">
        <w:rPr>
          <w:rFonts w:ascii="Arial" w:hAnsi="Arial" w:cs="Arial"/>
          <w:sz w:val="20"/>
          <w:szCs w:val="20"/>
        </w:rPr>
        <w:t xml:space="preserve">Si </w:t>
      </w:r>
      <w:proofErr w:type="gramStart"/>
      <w:r w:rsidRPr="00E257A5">
        <w:rPr>
          <w:rFonts w:ascii="Arial" w:hAnsi="Arial" w:cs="Arial"/>
          <w:sz w:val="20"/>
          <w:szCs w:val="20"/>
        </w:rPr>
        <w:t>el proponente adjudicado</w:t>
      </w:r>
      <w:proofErr w:type="gramEnd"/>
      <w:r w:rsidRPr="00E257A5">
        <w:rPr>
          <w:rFonts w:ascii="Arial" w:hAnsi="Arial" w:cs="Arial"/>
          <w:sz w:val="20"/>
          <w:szCs w:val="20"/>
        </w:rPr>
        <w:t xml:space="preserve"> consigna en su propuesta el otorgamiento de un anticipo, el mismo será otorgado contra entrega de un Certificado a Primer Requerimiento de Correcta Inversión de Anticipo por el 100% del anticipo. El anticipo no podrá superar el treinta por ciento (30%) del monto total del contrato.</w:t>
      </w:r>
    </w:p>
    <w:p w:rsidR="002B0821" w:rsidRPr="00E257A5" w:rsidRDefault="002B0821" w:rsidP="002B0821">
      <w:pPr>
        <w:tabs>
          <w:tab w:val="right" w:pos="8016"/>
        </w:tabs>
        <w:ind w:left="426"/>
        <w:jc w:val="both"/>
        <w:rPr>
          <w:rFonts w:ascii="Arial" w:hAnsi="Arial" w:cs="Arial"/>
          <w:sz w:val="20"/>
          <w:szCs w:val="20"/>
        </w:rPr>
      </w:pPr>
      <w:r w:rsidRPr="00E257A5">
        <w:rPr>
          <w:rFonts w:ascii="Arial" w:hAnsi="Arial" w:cs="Arial"/>
          <w:sz w:val="20"/>
          <w:szCs w:val="20"/>
        </w:rPr>
        <w:t>Asimismo, la CSBP procederá con los pagos previa presentación de facturas y de acuerdo con lo siguiente:</w:t>
      </w:r>
    </w:p>
    <w:p w:rsidR="002B0821" w:rsidRPr="00E257A5" w:rsidRDefault="002B0821" w:rsidP="002B0821">
      <w:pPr>
        <w:pStyle w:val="Prrafodelista"/>
        <w:numPr>
          <w:ilvl w:val="0"/>
          <w:numId w:val="23"/>
        </w:numPr>
        <w:tabs>
          <w:tab w:val="num" w:pos="851"/>
        </w:tabs>
        <w:spacing w:after="0"/>
        <w:ind w:hanging="285"/>
        <w:jc w:val="both"/>
        <w:rPr>
          <w:rFonts w:ascii="Arial" w:hAnsi="Arial" w:cs="Arial"/>
          <w:sz w:val="20"/>
          <w:szCs w:val="20"/>
        </w:rPr>
      </w:pPr>
      <w:r w:rsidRPr="00E257A5">
        <w:rPr>
          <w:rFonts w:ascii="Arial" w:hAnsi="Arial" w:cs="Arial"/>
          <w:sz w:val="20"/>
          <w:szCs w:val="20"/>
        </w:rPr>
        <w:t>Treinta por ciento (30%) a la presentación de Informe Preliminar y aprobación de la Comisión de Recepción o contraparte Pago del que se descontará el anticipo otorgado.</w:t>
      </w:r>
    </w:p>
    <w:p w:rsidR="002B0821" w:rsidRDefault="002B0821" w:rsidP="002B0821">
      <w:pPr>
        <w:pStyle w:val="Prrafodelista"/>
        <w:numPr>
          <w:ilvl w:val="0"/>
          <w:numId w:val="23"/>
        </w:numPr>
        <w:tabs>
          <w:tab w:val="num" w:pos="851"/>
        </w:tabs>
        <w:spacing w:after="0"/>
        <w:ind w:hanging="285"/>
        <w:jc w:val="both"/>
        <w:rPr>
          <w:rFonts w:ascii="Arial" w:hAnsi="Arial" w:cs="Arial"/>
          <w:sz w:val="20"/>
          <w:szCs w:val="20"/>
        </w:rPr>
      </w:pPr>
      <w:r w:rsidRPr="00E257A5">
        <w:rPr>
          <w:rFonts w:ascii="Arial" w:hAnsi="Arial" w:cs="Arial"/>
          <w:sz w:val="20"/>
          <w:szCs w:val="20"/>
        </w:rPr>
        <w:t xml:space="preserve">Setenta por ciento (70%) a la presentación del Informe Final y aprobación de la Comisión de Recepción o contraparte. </w:t>
      </w:r>
    </w:p>
    <w:p w:rsidR="002B0821" w:rsidRPr="00E257A5" w:rsidRDefault="002B0821" w:rsidP="002B0821">
      <w:pPr>
        <w:pStyle w:val="Prrafodelista"/>
        <w:spacing w:after="0"/>
        <w:ind w:left="852"/>
        <w:jc w:val="both"/>
        <w:rPr>
          <w:rFonts w:ascii="Arial" w:hAnsi="Arial" w:cs="Arial"/>
          <w:sz w:val="20"/>
          <w:szCs w:val="20"/>
        </w:rPr>
      </w:pPr>
    </w:p>
    <w:p w:rsidR="002B0821" w:rsidRPr="00E257A5" w:rsidRDefault="002B0821" w:rsidP="002B0821">
      <w:pPr>
        <w:pStyle w:val="Prrafodelista"/>
        <w:tabs>
          <w:tab w:val="num" w:pos="851"/>
        </w:tabs>
        <w:spacing w:after="0"/>
        <w:ind w:left="852"/>
        <w:jc w:val="both"/>
        <w:rPr>
          <w:rFonts w:ascii="Arial" w:hAnsi="Arial" w:cs="Arial"/>
          <w:sz w:val="20"/>
          <w:szCs w:val="20"/>
        </w:rPr>
      </w:pPr>
    </w:p>
    <w:p w:rsidR="002B0821" w:rsidRPr="0081200A" w:rsidRDefault="002B0821" w:rsidP="002B0821">
      <w:pPr>
        <w:pStyle w:val="Prrafodelista"/>
        <w:numPr>
          <w:ilvl w:val="0"/>
          <w:numId w:val="24"/>
        </w:numPr>
        <w:spacing w:after="0" w:line="240" w:lineRule="auto"/>
        <w:jc w:val="both"/>
        <w:rPr>
          <w:rFonts w:ascii="Arial" w:hAnsi="Arial" w:cs="Arial"/>
          <w:b/>
          <w:sz w:val="20"/>
          <w:szCs w:val="20"/>
        </w:rPr>
      </w:pPr>
      <w:r w:rsidRPr="0081200A">
        <w:rPr>
          <w:rFonts w:ascii="Arial" w:hAnsi="Arial" w:cs="Arial"/>
          <w:b/>
          <w:sz w:val="20"/>
          <w:szCs w:val="20"/>
        </w:rPr>
        <w:t>INSTALACIONES QUE PRESTARA EL CONVOCANTE.</w:t>
      </w:r>
    </w:p>
    <w:p w:rsidR="002B0821" w:rsidRPr="00E257A5" w:rsidRDefault="002B0821" w:rsidP="002B0821">
      <w:pPr>
        <w:spacing w:after="0" w:line="240" w:lineRule="auto"/>
        <w:ind w:left="420"/>
        <w:jc w:val="both"/>
        <w:rPr>
          <w:rFonts w:ascii="Arial" w:hAnsi="Arial" w:cs="Arial"/>
          <w:b/>
          <w:sz w:val="20"/>
          <w:szCs w:val="20"/>
        </w:rPr>
      </w:pPr>
    </w:p>
    <w:p w:rsidR="002B0821" w:rsidRPr="00E257A5" w:rsidRDefault="002B0821" w:rsidP="002B0821">
      <w:pPr>
        <w:ind w:left="426"/>
        <w:jc w:val="both"/>
        <w:rPr>
          <w:rFonts w:ascii="Arial" w:hAnsi="Arial" w:cs="Arial"/>
          <w:sz w:val="20"/>
          <w:szCs w:val="20"/>
          <w:lang w:val="es-ES_tradnl"/>
        </w:rPr>
      </w:pPr>
      <w:r w:rsidRPr="00E257A5">
        <w:rPr>
          <w:rFonts w:ascii="Arial" w:hAnsi="Arial" w:cs="Arial"/>
          <w:sz w:val="20"/>
          <w:szCs w:val="20"/>
          <w:lang w:val="es-ES_tradnl"/>
        </w:rPr>
        <w:t xml:space="preserve">La CSBP proporcionará al Proponente que sea adjudicado, </w:t>
      </w:r>
      <w:r w:rsidRPr="00E257A5">
        <w:rPr>
          <w:rFonts w:ascii="Arial" w:hAnsi="Arial" w:cs="Arial"/>
          <w:sz w:val="20"/>
          <w:szCs w:val="20"/>
          <w:u w:val="single"/>
          <w:lang w:val="es-ES_tradnl"/>
        </w:rPr>
        <w:t>únicamente</w:t>
      </w:r>
      <w:r w:rsidRPr="00E257A5">
        <w:rPr>
          <w:rFonts w:ascii="Arial" w:hAnsi="Arial" w:cs="Arial"/>
          <w:sz w:val="20"/>
          <w:szCs w:val="20"/>
          <w:lang w:val="es-ES_tradnl"/>
        </w:rPr>
        <w:t xml:space="preserve"> los ambientes y mesas de trabajo apropiados para que el equipo de auditores ejecute el servicio. Los equipos informáticos y materiales de escritorio necesarios serán responsabilidad del proponente.</w:t>
      </w:r>
    </w:p>
    <w:p w:rsidR="002B0821" w:rsidRPr="0081200A" w:rsidRDefault="002B0821" w:rsidP="002B0821">
      <w:pPr>
        <w:pStyle w:val="Prrafodelista"/>
        <w:numPr>
          <w:ilvl w:val="0"/>
          <w:numId w:val="24"/>
        </w:numPr>
        <w:spacing w:after="0" w:line="240" w:lineRule="auto"/>
        <w:jc w:val="both"/>
        <w:rPr>
          <w:rFonts w:ascii="Arial" w:hAnsi="Arial" w:cs="Arial"/>
          <w:b/>
          <w:sz w:val="20"/>
          <w:szCs w:val="20"/>
        </w:rPr>
      </w:pPr>
      <w:r w:rsidRPr="0081200A">
        <w:rPr>
          <w:rFonts w:ascii="Arial" w:hAnsi="Arial" w:cs="Arial"/>
          <w:b/>
          <w:sz w:val="20"/>
          <w:szCs w:val="20"/>
        </w:rPr>
        <w:t>REUNIONES INFORMATIVAS</w:t>
      </w:r>
    </w:p>
    <w:p w:rsidR="002B0821" w:rsidRPr="00E257A5" w:rsidRDefault="002B0821" w:rsidP="002B0821">
      <w:pPr>
        <w:spacing w:after="0" w:line="240" w:lineRule="auto"/>
        <w:ind w:left="420"/>
        <w:jc w:val="both"/>
        <w:rPr>
          <w:rFonts w:ascii="Arial" w:hAnsi="Arial" w:cs="Arial"/>
          <w:b/>
          <w:sz w:val="20"/>
          <w:szCs w:val="20"/>
        </w:rPr>
      </w:pPr>
    </w:p>
    <w:p w:rsidR="002B0821" w:rsidRPr="00E257A5" w:rsidRDefault="002B0821" w:rsidP="002B0821">
      <w:pPr>
        <w:ind w:left="426"/>
        <w:jc w:val="both"/>
        <w:rPr>
          <w:rFonts w:ascii="Arial" w:hAnsi="Arial" w:cs="Arial"/>
          <w:sz w:val="20"/>
          <w:szCs w:val="20"/>
          <w:lang w:val="es-ES_tradnl"/>
        </w:rPr>
      </w:pPr>
      <w:r w:rsidRPr="00E257A5">
        <w:rPr>
          <w:rFonts w:ascii="Arial" w:hAnsi="Arial" w:cs="Arial"/>
          <w:sz w:val="20"/>
          <w:szCs w:val="20"/>
          <w:lang w:val="es-ES_tradnl"/>
        </w:rPr>
        <w:t>La CSBP tendrá la facultad de solicitar a la firma de auditoría llevar a cabo reuniones periódicas en las que participe el personal propuesto, con el objeto de informar sobre el proceso o avance de la auditoría.</w:t>
      </w:r>
    </w:p>
    <w:p w:rsidR="002B0821" w:rsidRPr="00E257A5" w:rsidRDefault="002B0821" w:rsidP="002B0821">
      <w:pPr>
        <w:numPr>
          <w:ilvl w:val="0"/>
          <w:numId w:val="24"/>
        </w:numPr>
        <w:spacing w:after="0" w:line="240" w:lineRule="auto"/>
        <w:jc w:val="both"/>
        <w:rPr>
          <w:rFonts w:ascii="Arial" w:hAnsi="Arial" w:cs="Arial"/>
          <w:b/>
          <w:sz w:val="20"/>
          <w:szCs w:val="20"/>
        </w:rPr>
      </w:pPr>
      <w:r w:rsidRPr="00E257A5">
        <w:rPr>
          <w:rFonts w:ascii="Arial" w:hAnsi="Arial" w:cs="Arial"/>
          <w:b/>
          <w:sz w:val="20"/>
          <w:szCs w:val="20"/>
        </w:rPr>
        <w:t>RÉGIMEN DE MULTAS</w:t>
      </w:r>
    </w:p>
    <w:p w:rsidR="002B0821" w:rsidRPr="00E257A5" w:rsidRDefault="002B0821" w:rsidP="002B0821">
      <w:pPr>
        <w:spacing w:after="0" w:line="240" w:lineRule="auto"/>
        <w:ind w:left="420"/>
        <w:jc w:val="both"/>
        <w:rPr>
          <w:rFonts w:ascii="Arial" w:hAnsi="Arial" w:cs="Arial"/>
          <w:b/>
          <w:sz w:val="20"/>
          <w:szCs w:val="20"/>
        </w:rPr>
      </w:pPr>
    </w:p>
    <w:p w:rsidR="002B0821" w:rsidRPr="00E257A5" w:rsidRDefault="002B0821" w:rsidP="002B0821">
      <w:pPr>
        <w:ind w:left="426"/>
        <w:jc w:val="both"/>
        <w:rPr>
          <w:rFonts w:ascii="Arial" w:hAnsi="Arial" w:cs="Arial"/>
          <w:sz w:val="20"/>
          <w:szCs w:val="20"/>
          <w:lang w:val="es-ES_tradnl"/>
        </w:rPr>
      </w:pPr>
      <w:r w:rsidRPr="00E257A5">
        <w:rPr>
          <w:rFonts w:ascii="Arial" w:hAnsi="Arial" w:cs="Arial"/>
          <w:sz w:val="20"/>
          <w:szCs w:val="20"/>
          <w:lang w:val="es-ES_tradnl"/>
        </w:rPr>
        <w:t>Se aplicará una multa del 0.3% del monto total del servicio, por cada día calendario de atraso en la presentación de los Productos 1 y 2</w:t>
      </w:r>
    </w:p>
    <w:p w:rsidR="002B0821" w:rsidRPr="00E257A5" w:rsidRDefault="002B0821" w:rsidP="002B0821">
      <w:pPr>
        <w:ind w:left="426"/>
        <w:jc w:val="both"/>
        <w:rPr>
          <w:rFonts w:ascii="Arial" w:hAnsi="Arial" w:cs="Arial"/>
          <w:sz w:val="20"/>
          <w:szCs w:val="20"/>
          <w:lang w:val="es-ES_tradnl"/>
        </w:rPr>
      </w:pPr>
      <w:r w:rsidRPr="00E257A5">
        <w:rPr>
          <w:rFonts w:ascii="Arial" w:hAnsi="Arial" w:cs="Arial"/>
          <w:sz w:val="20"/>
          <w:szCs w:val="20"/>
          <w:lang w:val="es-ES_tradnl"/>
        </w:rPr>
        <w:t>De igual forma, cuando el proponente adjudicado no subsane las observaciones efectuadas por la Contraparte y/o la Comisión de Recepción en el plazo establecido, se aplicará una multa del 0.3% del monto total del servicio, por cada día calendario de atraso en la nueva presentación de los Productos 1 y 2.</w:t>
      </w:r>
    </w:p>
    <w:p w:rsidR="002B0821" w:rsidRPr="006A25DB" w:rsidRDefault="002B0821" w:rsidP="002B0821">
      <w:pPr>
        <w:numPr>
          <w:ilvl w:val="0"/>
          <w:numId w:val="24"/>
        </w:numPr>
        <w:tabs>
          <w:tab w:val="num" w:pos="4046"/>
        </w:tabs>
        <w:spacing w:after="0" w:line="240" w:lineRule="auto"/>
        <w:ind w:hanging="4046"/>
        <w:jc w:val="both"/>
        <w:rPr>
          <w:rFonts w:ascii="Arial" w:hAnsi="Arial" w:cs="Arial"/>
          <w:b/>
          <w:sz w:val="20"/>
          <w:szCs w:val="20"/>
          <w:lang w:val="es-ES"/>
        </w:rPr>
      </w:pPr>
    </w:p>
    <w:p w:rsidR="002B0821" w:rsidRPr="00E257A5" w:rsidRDefault="002B0821" w:rsidP="002B0821">
      <w:pPr>
        <w:numPr>
          <w:ilvl w:val="0"/>
          <w:numId w:val="24"/>
        </w:numPr>
        <w:tabs>
          <w:tab w:val="num" w:pos="4046"/>
        </w:tabs>
        <w:spacing w:after="0" w:line="240" w:lineRule="auto"/>
        <w:ind w:hanging="4046"/>
        <w:jc w:val="both"/>
        <w:rPr>
          <w:rFonts w:ascii="Arial" w:hAnsi="Arial" w:cs="Arial"/>
          <w:b/>
          <w:sz w:val="20"/>
          <w:szCs w:val="20"/>
          <w:lang w:val="es-ES"/>
        </w:rPr>
      </w:pPr>
      <w:r w:rsidRPr="00E257A5">
        <w:rPr>
          <w:rFonts w:ascii="Arial" w:hAnsi="Arial" w:cs="Arial"/>
          <w:b/>
          <w:sz w:val="20"/>
          <w:szCs w:val="20"/>
        </w:rPr>
        <w:t xml:space="preserve">CORRESPONDENCIA Y MECANISMOS DE COMUNICACIÓN </w:t>
      </w:r>
    </w:p>
    <w:p w:rsidR="002B0821" w:rsidRPr="00E257A5" w:rsidRDefault="002B0821" w:rsidP="002B0821">
      <w:pPr>
        <w:numPr>
          <w:ilvl w:val="0"/>
          <w:numId w:val="24"/>
        </w:numPr>
        <w:tabs>
          <w:tab w:val="num" w:pos="4046"/>
        </w:tabs>
        <w:spacing w:after="0" w:line="240" w:lineRule="auto"/>
        <w:ind w:hanging="4046"/>
        <w:jc w:val="both"/>
        <w:rPr>
          <w:rFonts w:ascii="Arial" w:hAnsi="Arial" w:cs="Arial"/>
          <w:b/>
          <w:sz w:val="20"/>
          <w:szCs w:val="20"/>
          <w:lang w:val="es-ES"/>
        </w:rPr>
      </w:pPr>
    </w:p>
    <w:p w:rsidR="002B0821" w:rsidRPr="00E257A5" w:rsidRDefault="002B0821" w:rsidP="002B0821">
      <w:pPr>
        <w:ind w:left="426"/>
        <w:jc w:val="both"/>
        <w:rPr>
          <w:rFonts w:ascii="Arial" w:hAnsi="Arial" w:cs="Arial"/>
          <w:sz w:val="20"/>
          <w:szCs w:val="20"/>
          <w:lang w:val="es-ES_tradnl"/>
        </w:rPr>
      </w:pPr>
      <w:r w:rsidRPr="00E257A5">
        <w:rPr>
          <w:rFonts w:ascii="Arial" w:hAnsi="Arial" w:cs="Arial"/>
          <w:sz w:val="20"/>
          <w:szCs w:val="20"/>
          <w:lang w:val="es-ES_tradnl"/>
        </w:rPr>
        <w:t xml:space="preserve">La Administración de </w:t>
      </w:r>
      <w:proofErr w:type="spellStart"/>
      <w:r w:rsidRPr="00E257A5">
        <w:rPr>
          <w:rFonts w:ascii="Arial" w:hAnsi="Arial" w:cs="Arial"/>
          <w:sz w:val="20"/>
          <w:szCs w:val="20"/>
          <w:lang w:val="es-ES_tradnl"/>
        </w:rPr>
        <w:t>Policonsultorio</w:t>
      </w:r>
      <w:proofErr w:type="spellEnd"/>
      <w:r w:rsidRPr="00E257A5">
        <w:rPr>
          <w:rFonts w:ascii="Arial" w:hAnsi="Arial" w:cs="Arial"/>
          <w:sz w:val="20"/>
          <w:szCs w:val="20"/>
          <w:lang w:val="es-ES_tradnl"/>
        </w:rPr>
        <w:t xml:space="preserve"> El Alto de la CSBP será el nexo de relación con la firma de auditoría, por lo que toda la correspondencia y los mecanismos de comunicación deberán ser dirigidos o remitidos a dicha Área.</w:t>
      </w:r>
    </w:p>
    <w:p w:rsidR="002B0821" w:rsidRDefault="002B0821" w:rsidP="002B0821">
      <w:pPr>
        <w:ind w:left="426"/>
        <w:jc w:val="both"/>
        <w:rPr>
          <w:rFonts w:ascii="Arial" w:hAnsi="Arial" w:cs="Arial"/>
          <w:b/>
          <w:sz w:val="20"/>
          <w:szCs w:val="20"/>
          <w:lang w:val="es-ES_tradnl"/>
        </w:rPr>
      </w:pPr>
      <w:r w:rsidRPr="00E257A5">
        <w:rPr>
          <w:rFonts w:ascii="Arial" w:hAnsi="Arial" w:cs="Arial"/>
          <w:b/>
          <w:sz w:val="20"/>
          <w:szCs w:val="20"/>
          <w:lang w:val="es-ES_tradnl"/>
        </w:rPr>
        <w:t>ESTOS TÉRMINOS DE REFERENCIA SON ENUNCIATIVOS Y NO LIMITATIVOS, POR LO QUE EL PROPONENTE, SI ASI LO DESEA Y A OBJETO DE DEMOSTRAR SU PERICIA EN LA PRESTACIÓN DEL SERVICIO, PUEDE AMPLIAR Y/O MEJORAR EL ALCANCE DE SU TRABAJO EN EL MARCO DE LOS OBJETIVOS DE LA AUDITORÍA.</w:t>
      </w:r>
    </w:p>
    <w:p w:rsidR="00385404" w:rsidRPr="00B4733D" w:rsidRDefault="00385404" w:rsidP="00A42659">
      <w:pPr>
        <w:spacing w:after="0"/>
        <w:jc w:val="both"/>
        <w:rPr>
          <w:rFonts w:ascii="Arial" w:hAnsi="Arial" w:cs="Arial"/>
          <w:sz w:val="14"/>
          <w:szCs w:val="14"/>
          <w:lang w:val="es-ES_tradnl"/>
        </w:rPr>
      </w:pPr>
    </w:p>
    <w:sectPr w:rsidR="00385404" w:rsidRPr="00B4733D" w:rsidSect="00D92B2E">
      <w:pgSz w:w="12240" w:h="15840"/>
      <w:pgMar w:top="2552" w:right="1134" w:bottom="1134" w:left="311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86FC7"/>
    <w:multiLevelType w:val="hybridMultilevel"/>
    <w:tmpl w:val="00E25D10"/>
    <w:lvl w:ilvl="0" w:tplc="B420A52C">
      <w:start w:val="12"/>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 w15:restartNumberingAfterBreak="0">
    <w:nsid w:val="11BF6FFD"/>
    <w:multiLevelType w:val="hybridMultilevel"/>
    <w:tmpl w:val="CD665B4C"/>
    <w:lvl w:ilvl="0" w:tplc="400A000F">
      <w:start w:val="1"/>
      <w:numFmt w:val="decimal"/>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2" w15:restartNumberingAfterBreak="0">
    <w:nsid w:val="18D27715"/>
    <w:multiLevelType w:val="hybridMultilevel"/>
    <w:tmpl w:val="8BEAF3BE"/>
    <w:lvl w:ilvl="0" w:tplc="7D42E0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99D5F03"/>
    <w:multiLevelType w:val="hybridMultilevel"/>
    <w:tmpl w:val="92D45EE4"/>
    <w:lvl w:ilvl="0" w:tplc="400A000F">
      <w:start w:val="1"/>
      <w:numFmt w:val="decimal"/>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4" w15:restartNumberingAfterBreak="0">
    <w:nsid w:val="1AF974CA"/>
    <w:multiLevelType w:val="hybridMultilevel"/>
    <w:tmpl w:val="94B69932"/>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5" w15:restartNumberingAfterBreak="0">
    <w:nsid w:val="20BD2408"/>
    <w:multiLevelType w:val="hybridMultilevel"/>
    <w:tmpl w:val="62967E6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233E2DBE"/>
    <w:multiLevelType w:val="hybridMultilevel"/>
    <w:tmpl w:val="208C165E"/>
    <w:lvl w:ilvl="0" w:tplc="400A0001">
      <w:start w:val="1"/>
      <w:numFmt w:val="bullet"/>
      <w:lvlText w:val=""/>
      <w:lvlJc w:val="left"/>
      <w:pPr>
        <w:ind w:left="780" w:hanging="360"/>
      </w:pPr>
      <w:rPr>
        <w:rFonts w:ascii="Symbol" w:hAnsi="Symbol" w:hint="default"/>
      </w:rPr>
    </w:lvl>
    <w:lvl w:ilvl="1" w:tplc="400A0003" w:tentative="1">
      <w:start w:val="1"/>
      <w:numFmt w:val="bullet"/>
      <w:lvlText w:val="o"/>
      <w:lvlJc w:val="left"/>
      <w:pPr>
        <w:ind w:left="1500" w:hanging="360"/>
      </w:pPr>
      <w:rPr>
        <w:rFonts w:ascii="Courier New" w:hAnsi="Courier New" w:cs="Courier New" w:hint="default"/>
      </w:rPr>
    </w:lvl>
    <w:lvl w:ilvl="2" w:tplc="400A0005" w:tentative="1">
      <w:start w:val="1"/>
      <w:numFmt w:val="bullet"/>
      <w:lvlText w:val=""/>
      <w:lvlJc w:val="left"/>
      <w:pPr>
        <w:ind w:left="2220" w:hanging="360"/>
      </w:pPr>
      <w:rPr>
        <w:rFonts w:ascii="Wingdings" w:hAnsi="Wingdings" w:hint="default"/>
      </w:rPr>
    </w:lvl>
    <w:lvl w:ilvl="3" w:tplc="400A0001" w:tentative="1">
      <w:start w:val="1"/>
      <w:numFmt w:val="bullet"/>
      <w:lvlText w:val=""/>
      <w:lvlJc w:val="left"/>
      <w:pPr>
        <w:ind w:left="2940" w:hanging="360"/>
      </w:pPr>
      <w:rPr>
        <w:rFonts w:ascii="Symbol" w:hAnsi="Symbol" w:hint="default"/>
      </w:rPr>
    </w:lvl>
    <w:lvl w:ilvl="4" w:tplc="400A0003" w:tentative="1">
      <w:start w:val="1"/>
      <w:numFmt w:val="bullet"/>
      <w:lvlText w:val="o"/>
      <w:lvlJc w:val="left"/>
      <w:pPr>
        <w:ind w:left="3660" w:hanging="360"/>
      </w:pPr>
      <w:rPr>
        <w:rFonts w:ascii="Courier New" w:hAnsi="Courier New" w:cs="Courier New" w:hint="default"/>
      </w:rPr>
    </w:lvl>
    <w:lvl w:ilvl="5" w:tplc="400A0005" w:tentative="1">
      <w:start w:val="1"/>
      <w:numFmt w:val="bullet"/>
      <w:lvlText w:val=""/>
      <w:lvlJc w:val="left"/>
      <w:pPr>
        <w:ind w:left="4380" w:hanging="360"/>
      </w:pPr>
      <w:rPr>
        <w:rFonts w:ascii="Wingdings" w:hAnsi="Wingdings" w:hint="default"/>
      </w:rPr>
    </w:lvl>
    <w:lvl w:ilvl="6" w:tplc="400A0001" w:tentative="1">
      <w:start w:val="1"/>
      <w:numFmt w:val="bullet"/>
      <w:lvlText w:val=""/>
      <w:lvlJc w:val="left"/>
      <w:pPr>
        <w:ind w:left="5100" w:hanging="360"/>
      </w:pPr>
      <w:rPr>
        <w:rFonts w:ascii="Symbol" w:hAnsi="Symbol" w:hint="default"/>
      </w:rPr>
    </w:lvl>
    <w:lvl w:ilvl="7" w:tplc="400A0003" w:tentative="1">
      <w:start w:val="1"/>
      <w:numFmt w:val="bullet"/>
      <w:lvlText w:val="o"/>
      <w:lvlJc w:val="left"/>
      <w:pPr>
        <w:ind w:left="5820" w:hanging="360"/>
      </w:pPr>
      <w:rPr>
        <w:rFonts w:ascii="Courier New" w:hAnsi="Courier New" w:cs="Courier New" w:hint="default"/>
      </w:rPr>
    </w:lvl>
    <w:lvl w:ilvl="8" w:tplc="400A0005" w:tentative="1">
      <w:start w:val="1"/>
      <w:numFmt w:val="bullet"/>
      <w:lvlText w:val=""/>
      <w:lvlJc w:val="left"/>
      <w:pPr>
        <w:ind w:left="6540" w:hanging="360"/>
      </w:pPr>
      <w:rPr>
        <w:rFonts w:ascii="Wingdings" w:hAnsi="Wingdings" w:hint="default"/>
      </w:rPr>
    </w:lvl>
  </w:abstractNum>
  <w:abstractNum w:abstractNumId="7" w15:restartNumberingAfterBreak="0">
    <w:nsid w:val="286D0D85"/>
    <w:multiLevelType w:val="hybridMultilevel"/>
    <w:tmpl w:val="D7BAB7D4"/>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321058A8"/>
    <w:multiLevelType w:val="hybridMultilevel"/>
    <w:tmpl w:val="38209BC0"/>
    <w:lvl w:ilvl="0" w:tplc="23527A30">
      <w:start w:val="1"/>
      <w:numFmt w:val="bullet"/>
      <w:lvlText w:val=""/>
      <w:lvlJc w:val="left"/>
      <w:pPr>
        <w:tabs>
          <w:tab w:val="num" w:pos="2912"/>
        </w:tabs>
        <w:ind w:left="2912" w:hanging="360"/>
      </w:pPr>
      <w:rPr>
        <w:rFonts w:ascii="Symbol" w:hAnsi="Symbol" w:hint="default"/>
      </w:rPr>
    </w:lvl>
    <w:lvl w:ilvl="1" w:tplc="0C0A0003">
      <w:start w:val="1"/>
      <w:numFmt w:val="bullet"/>
      <w:lvlText w:val="o"/>
      <w:lvlJc w:val="left"/>
      <w:pPr>
        <w:tabs>
          <w:tab w:val="num" w:pos="3549"/>
        </w:tabs>
        <w:ind w:left="3549" w:hanging="360"/>
      </w:pPr>
      <w:rPr>
        <w:rFonts w:ascii="Courier New" w:hAnsi="Courier New" w:cs="Times New Roman" w:hint="default"/>
      </w:rPr>
    </w:lvl>
    <w:lvl w:ilvl="2" w:tplc="0C0A0005">
      <w:start w:val="1"/>
      <w:numFmt w:val="bullet"/>
      <w:lvlText w:val=""/>
      <w:lvlJc w:val="left"/>
      <w:pPr>
        <w:tabs>
          <w:tab w:val="num" w:pos="4269"/>
        </w:tabs>
        <w:ind w:left="4269" w:hanging="360"/>
      </w:pPr>
      <w:rPr>
        <w:rFonts w:ascii="Wingdings" w:hAnsi="Wingdings" w:hint="default"/>
      </w:rPr>
    </w:lvl>
    <w:lvl w:ilvl="3" w:tplc="0C0A0001">
      <w:start w:val="1"/>
      <w:numFmt w:val="bullet"/>
      <w:lvlText w:val=""/>
      <w:lvlJc w:val="left"/>
      <w:pPr>
        <w:tabs>
          <w:tab w:val="num" w:pos="4989"/>
        </w:tabs>
        <w:ind w:left="4989" w:hanging="360"/>
      </w:pPr>
      <w:rPr>
        <w:rFonts w:ascii="Symbol" w:hAnsi="Symbol" w:hint="default"/>
      </w:rPr>
    </w:lvl>
    <w:lvl w:ilvl="4" w:tplc="0C0A0003">
      <w:start w:val="1"/>
      <w:numFmt w:val="bullet"/>
      <w:lvlText w:val="o"/>
      <w:lvlJc w:val="left"/>
      <w:pPr>
        <w:tabs>
          <w:tab w:val="num" w:pos="5709"/>
        </w:tabs>
        <w:ind w:left="5709" w:hanging="360"/>
      </w:pPr>
      <w:rPr>
        <w:rFonts w:ascii="Courier New" w:hAnsi="Courier New" w:cs="Times New Roman" w:hint="default"/>
      </w:rPr>
    </w:lvl>
    <w:lvl w:ilvl="5" w:tplc="0C0A0005">
      <w:start w:val="1"/>
      <w:numFmt w:val="bullet"/>
      <w:lvlText w:val=""/>
      <w:lvlJc w:val="left"/>
      <w:pPr>
        <w:tabs>
          <w:tab w:val="num" w:pos="6429"/>
        </w:tabs>
        <w:ind w:left="6429" w:hanging="360"/>
      </w:pPr>
      <w:rPr>
        <w:rFonts w:ascii="Wingdings" w:hAnsi="Wingdings" w:hint="default"/>
      </w:rPr>
    </w:lvl>
    <w:lvl w:ilvl="6" w:tplc="0C0A0001">
      <w:start w:val="1"/>
      <w:numFmt w:val="bullet"/>
      <w:lvlText w:val=""/>
      <w:lvlJc w:val="left"/>
      <w:pPr>
        <w:tabs>
          <w:tab w:val="num" w:pos="7149"/>
        </w:tabs>
        <w:ind w:left="7149" w:hanging="360"/>
      </w:pPr>
      <w:rPr>
        <w:rFonts w:ascii="Symbol" w:hAnsi="Symbol" w:hint="default"/>
      </w:rPr>
    </w:lvl>
    <w:lvl w:ilvl="7" w:tplc="0C0A0003">
      <w:start w:val="1"/>
      <w:numFmt w:val="bullet"/>
      <w:lvlText w:val="o"/>
      <w:lvlJc w:val="left"/>
      <w:pPr>
        <w:tabs>
          <w:tab w:val="num" w:pos="7869"/>
        </w:tabs>
        <w:ind w:left="7869" w:hanging="360"/>
      </w:pPr>
      <w:rPr>
        <w:rFonts w:ascii="Courier New" w:hAnsi="Courier New" w:cs="Times New Roman" w:hint="default"/>
      </w:rPr>
    </w:lvl>
    <w:lvl w:ilvl="8" w:tplc="0C0A0005">
      <w:start w:val="1"/>
      <w:numFmt w:val="bullet"/>
      <w:lvlText w:val=""/>
      <w:lvlJc w:val="left"/>
      <w:pPr>
        <w:tabs>
          <w:tab w:val="num" w:pos="8589"/>
        </w:tabs>
        <w:ind w:left="8589" w:hanging="360"/>
      </w:pPr>
      <w:rPr>
        <w:rFonts w:ascii="Wingdings" w:hAnsi="Wingdings" w:hint="default"/>
      </w:rPr>
    </w:lvl>
  </w:abstractNum>
  <w:abstractNum w:abstractNumId="9" w15:restartNumberingAfterBreak="0">
    <w:nsid w:val="37FE39AC"/>
    <w:multiLevelType w:val="hybridMultilevel"/>
    <w:tmpl w:val="8EEA4B04"/>
    <w:lvl w:ilvl="0" w:tplc="F3300B1C">
      <w:start w:val="1"/>
      <w:numFmt w:val="lowerLetter"/>
      <w:lvlText w:val="%1)"/>
      <w:lvlJc w:val="left"/>
      <w:pPr>
        <w:tabs>
          <w:tab w:val="num" w:pos="1134"/>
        </w:tabs>
        <w:ind w:left="1134" w:hanging="567"/>
      </w:pPr>
      <w:rPr>
        <w:rFonts w:ascii="Arial" w:hAnsi="Arial" w:cs="Times New Roman" w:hint="default"/>
        <w:b/>
        <w:i w:val="0"/>
        <w:color w:val="auto"/>
        <w:sz w:val="20"/>
        <w:szCs w:val="20"/>
      </w:rPr>
    </w:lvl>
    <w:lvl w:ilvl="1" w:tplc="E4D689E0">
      <w:start w:val="1"/>
      <w:numFmt w:val="decimal"/>
      <w:lvlText w:val="%2."/>
      <w:lvlJc w:val="left"/>
      <w:pPr>
        <w:tabs>
          <w:tab w:val="num" w:pos="1440"/>
        </w:tabs>
        <w:ind w:left="1440" w:hanging="360"/>
      </w:pPr>
      <w:rPr>
        <w:rFonts w:ascii="Arial" w:hAnsi="Arial" w:cs="Times New Roman" w:hint="default"/>
        <w:b/>
        <w:i w:val="0"/>
        <w:sz w:val="20"/>
      </w:rPr>
    </w:lvl>
    <w:lvl w:ilvl="2" w:tplc="567C4078">
      <w:start w:val="1"/>
      <w:numFmt w:val="lowerLetter"/>
      <w:lvlText w:val="%3)"/>
      <w:lvlJc w:val="left"/>
      <w:pPr>
        <w:tabs>
          <w:tab w:val="num" w:pos="2355"/>
        </w:tabs>
        <w:ind w:left="2355" w:hanging="375"/>
      </w:pPr>
      <w:rPr>
        <w:rFonts w:ascii="Arial" w:hAnsi="Arial" w:cs="Times New Roman" w:hint="default"/>
        <w:b/>
        <w:i w:val="0"/>
        <w:sz w:val="18"/>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39A06B5D"/>
    <w:multiLevelType w:val="hybridMultilevel"/>
    <w:tmpl w:val="FFD413D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42627CC0"/>
    <w:multiLevelType w:val="hybridMultilevel"/>
    <w:tmpl w:val="2E54BB3C"/>
    <w:lvl w:ilvl="0" w:tplc="400A0001">
      <w:start w:val="1"/>
      <w:numFmt w:val="bullet"/>
      <w:lvlText w:val=""/>
      <w:lvlJc w:val="left"/>
      <w:pPr>
        <w:ind w:left="720" w:hanging="360"/>
      </w:pPr>
      <w:rPr>
        <w:rFonts w:ascii="Symbol" w:hAnsi="Symbol" w:hint="default"/>
      </w:rPr>
    </w:lvl>
    <w:lvl w:ilvl="1" w:tplc="6D62A6EA">
      <w:numFmt w:val="bullet"/>
      <w:lvlText w:val="-"/>
      <w:lvlJc w:val="left"/>
      <w:pPr>
        <w:ind w:left="1440" w:hanging="360"/>
      </w:pPr>
      <w:rPr>
        <w:rFonts w:ascii="Arial" w:eastAsiaTheme="minorEastAsia" w:hAnsi="Arial" w:cs="Aria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51F74356"/>
    <w:multiLevelType w:val="multilevel"/>
    <w:tmpl w:val="0B4C9EFE"/>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52B238F7"/>
    <w:multiLevelType w:val="hybridMultilevel"/>
    <w:tmpl w:val="C00CFC68"/>
    <w:lvl w:ilvl="0" w:tplc="73EA35A0">
      <w:start w:val="1"/>
      <w:numFmt w:val="lowerLetter"/>
      <w:lvlText w:val="%1)"/>
      <w:lvlJc w:val="left"/>
      <w:pPr>
        <w:ind w:left="1571" w:hanging="720"/>
      </w:pPr>
      <w:rPr>
        <w:rFonts w:hint="default"/>
      </w:rPr>
    </w:lvl>
    <w:lvl w:ilvl="1" w:tplc="400A0019" w:tentative="1">
      <w:start w:val="1"/>
      <w:numFmt w:val="lowerLetter"/>
      <w:lvlText w:val="%2."/>
      <w:lvlJc w:val="left"/>
      <w:pPr>
        <w:ind w:left="1931" w:hanging="360"/>
      </w:pPr>
    </w:lvl>
    <w:lvl w:ilvl="2" w:tplc="400A001B" w:tentative="1">
      <w:start w:val="1"/>
      <w:numFmt w:val="lowerRoman"/>
      <w:lvlText w:val="%3."/>
      <w:lvlJc w:val="right"/>
      <w:pPr>
        <w:ind w:left="2651" w:hanging="180"/>
      </w:pPr>
    </w:lvl>
    <w:lvl w:ilvl="3" w:tplc="400A000F" w:tentative="1">
      <w:start w:val="1"/>
      <w:numFmt w:val="decimal"/>
      <w:lvlText w:val="%4."/>
      <w:lvlJc w:val="left"/>
      <w:pPr>
        <w:ind w:left="3371" w:hanging="360"/>
      </w:pPr>
    </w:lvl>
    <w:lvl w:ilvl="4" w:tplc="400A0019" w:tentative="1">
      <w:start w:val="1"/>
      <w:numFmt w:val="lowerLetter"/>
      <w:lvlText w:val="%5."/>
      <w:lvlJc w:val="left"/>
      <w:pPr>
        <w:ind w:left="4091" w:hanging="360"/>
      </w:pPr>
    </w:lvl>
    <w:lvl w:ilvl="5" w:tplc="400A001B" w:tentative="1">
      <w:start w:val="1"/>
      <w:numFmt w:val="lowerRoman"/>
      <w:lvlText w:val="%6."/>
      <w:lvlJc w:val="right"/>
      <w:pPr>
        <w:ind w:left="4811" w:hanging="180"/>
      </w:pPr>
    </w:lvl>
    <w:lvl w:ilvl="6" w:tplc="400A000F" w:tentative="1">
      <w:start w:val="1"/>
      <w:numFmt w:val="decimal"/>
      <w:lvlText w:val="%7."/>
      <w:lvlJc w:val="left"/>
      <w:pPr>
        <w:ind w:left="5531" w:hanging="360"/>
      </w:pPr>
    </w:lvl>
    <w:lvl w:ilvl="7" w:tplc="400A0019" w:tentative="1">
      <w:start w:val="1"/>
      <w:numFmt w:val="lowerLetter"/>
      <w:lvlText w:val="%8."/>
      <w:lvlJc w:val="left"/>
      <w:pPr>
        <w:ind w:left="6251" w:hanging="360"/>
      </w:pPr>
    </w:lvl>
    <w:lvl w:ilvl="8" w:tplc="400A001B" w:tentative="1">
      <w:start w:val="1"/>
      <w:numFmt w:val="lowerRoman"/>
      <w:lvlText w:val="%9."/>
      <w:lvlJc w:val="right"/>
      <w:pPr>
        <w:ind w:left="6971" w:hanging="180"/>
      </w:pPr>
    </w:lvl>
  </w:abstractNum>
  <w:abstractNum w:abstractNumId="14" w15:restartNumberingAfterBreak="0">
    <w:nsid w:val="578666D8"/>
    <w:multiLevelType w:val="hybridMultilevel"/>
    <w:tmpl w:val="6CAEAD0C"/>
    <w:lvl w:ilvl="0" w:tplc="400A0001">
      <w:start w:val="1"/>
      <w:numFmt w:val="bullet"/>
      <w:lvlText w:val=""/>
      <w:lvlJc w:val="left"/>
      <w:pPr>
        <w:ind w:left="1571" w:hanging="360"/>
      </w:pPr>
      <w:rPr>
        <w:rFonts w:ascii="Symbol" w:hAnsi="Symbol" w:hint="default"/>
      </w:rPr>
    </w:lvl>
    <w:lvl w:ilvl="1" w:tplc="400A0001">
      <w:start w:val="1"/>
      <w:numFmt w:val="bullet"/>
      <w:lvlText w:val=""/>
      <w:lvlJc w:val="left"/>
      <w:pPr>
        <w:ind w:left="2291" w:hanging="360"/>
      </w:pPr>
      <w:rPr>
        <w:rFonts w:ascii="Symbol" w:hAnsi="Symbol" w:hint="default"/>
      </w:rPr>
    </w:lvl>
    <w:lvl w:ilvl="2" w:tplc="400A0005" w:tentative="1">
      <w:start w:val="1"/>
      <w:numFmt w:val="bullet"/>
      <w:lvlText w:val=""/>
      <w:lvlJc w:val="left"/>
      <w:pPr>
        <w:ind w:left="3011" w:hanging="360"/>
      </w:pPr>
      <w:rPr>
        <w:rFonts w:ascii="Wingdings" w:hAnsi="Wingdings" w:hint="default"/>
      </w:rPr>
    </w:lvl>
    <w:lvl w:ilvl="3" w:tplc="400A0001" w:tentative="1">
      <w:start w:val="1"/>
      <w:numFmt w:val="bullet"/>
      <w:lvlText w:val=""/>
      <w:lvlJc w:val="left"/>
      <w:pPr>
        <w:ind w:left="3731" w:hanging="360"/>
      </w:pPr>
      <w:rPr>
        <w:rFonts w:ascii="Symbol" w:hAnsi="Symbol" w:hint="default"/>
      </w:rPr>
    </w:lvl>
    <w:lvl w:ilvl="4" w:tplc="400A0003" w:tentative="1">
      <w:start w:val="1"/>
      <w:numFmt w:val="bullet"/>
      <w:lvlText w:val="o"/>
      <w:lvlJc w:val="left"/>
      <w:pPr>
        <w:ind w:left="4451" w:hanging="360"/>
      </w:pPr>
      <w:rPr>
        <w:rFonts w:ascii="Courier New" w:hAnsi="Courier New" w:cs="Courier New" w:hint="default"/>
      </w:rPr>
    </w:lvl>
    <w:lvl w:ilvl="5" w:tplc="400A0005" w:tentative="1">
      <w:start w:val="1"/>
      <w:numFmt w:val="bullet"/>
      <w:lvlText w:val=""/>
      <w:lvlJc w:val="left"/>
      <w:pPr>
        <w:ind w:left="5171" w:hanging="360"/>
      </w:pPr>
      <w:rPr>
        <w:rFonts w:ascii="Wingdings" w:hAnsi="Wingdings" w:hint="default"/>
      </w:rPr>
    </w:lvl>
    <w:lvl w:ilvl="6" w:tplc="400A0001" w:tentative="1">
      <w:start w:val="1"/>
      <w:numFmt w:val="bullet"/>
      <w:lvlText w:val=""/>
      <w:lvlJc w:val="left"/>
      <w:pPr>
        <w:ind w:left="5891" w:hanging="360"/>
      </w:pPr>
      <w:rPr>
        <w:rFonts w:ascii="Symbol" w:hAnsi="Symbol" w:hint="default"/>
      </w:rPr>
    </w:lvl>
    <w:lvl w:ilvl="7" w:tplc="400A0003" w:tentative="1">
      <w:start w:val="1"/>
      <w:numFmt w:val="bullet"/>
      <w:lvlText w:val="o"/>
      <w:lvlJc w:val="left"/>
      <w:pPr>
        <w:ind w:left="6611" w:hanging="360"/>
      </w:pPr>
      <w:rPr>
        <w:rFonts w:ascii="Courier New" w:hAnsi="Courier New" w:cs="Courier New" w:hint="default"/>
      </w:rPr>
    </w:lvl>
    <w:lvl w:ilvl="8" w:tplc="400A0005" w:tentative="1">
      <w:start w:val="1"/>
      <w:numFmt w:val="bullet"/>
      <w:lvlText w:val=""/>
      <w:lvlJc w:val="left"/>
      <w:pPr>
        <w:ind w:left="7331" w:hanging="360"/>
      </w:pPr>
      <w:rPr>
        <w:rFonts w:ascii="Wingdings" w:hAnsi="Wingdings" w:hint="default"/>
      </w:rPr>
    </w:lvl>
  </w:abstractNum>
  <w:abstractNum w:abstractNumId="15" w15:restartNumberingAfterBreak="0">
    <w:nsid w:val="62BE6F1D"/>
    <w:multiLevelType w:val="hybridMultilevel"/>
    <w:tmpl w:val="06DC867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4D9290C"/>
    <w:multiLevelType w:val="hybridMultilevel"/>
    <w:tmpl w:val="BBAA0280"/>
    <w:lvl w:ilvl="0" w:tplc="F4F4D5AC">
      <w:start w:val="1"/>
      <w:numFmt w:val="lowerLetter"/>
      <w:lvlText w:val="%1)"/>
      <w:lvlJc w:val="left"/>
      <w:pPr>
        <w:ind w:left="852" w:hanging="570"/>
      </w:pPr>
      <w:rPr>
        <w:rFonts w:hint="default"/>
        <w:b/>
      </w:rPr>
    </w:lvl>
    <w:lvl w:ilvl="1" w:tplc="400A0019" w:tentative="1">
      <w:start w:val="1"/>
      <w:numFmt w:val="lowerLetter"/>
      <w:lvlText w:val="%2."/>
      <w:lvlJc w:val="left"/>
      <w:pPr>
        <w:ind w:left="1362" w:hanging="360"/>
      </w:pPr>
    </w:lvl>
    <w:lvl w:ilvl="2" w:tplc="400A001B" w:tentative="1">
      <w:start w:val="1"/>
      <w:numFmt w:val="lowerRoman"/>
      <w:lvlText w:val="%3."/>
      <w:lvlJc w:val="right"/>
      <w:pPr>
        <w:ind w:left="2082" w:hanging="180"/>
      </w:pPr>
    </w:lvl>
    <w:lvl w:ilvl="3" w:tplc="400A000F" w:tentative="1">
      <w:start w:val="1"/>
      <w:numFmt w:val="decimal"/>
      <w:lvlText w:val="%4."/>
      <w:lvlJc w:val="left"/>
      <w:pPr>
        <w:ind w:left="2802" w:hanging="360"/>
      </w:pPr>
    </w:lvl>
    <w:lvl w:ilvl="4" w:tplc="400A0019" w:tentative="1">
      <w:start w:val="1"/>
      <w:numFmt w:val="lowerLetter"/>
      <w:lvlText w:val="%5."/>
      <w:lvlJc w:val="left"/>
      <w:pPr>
        <w:ind w:left="3522" w:hanging="360"/>
      </w:pPr>
    </w:lvl>
    <w:lvl w:ilvl="5" w:tplc="400A001B" w:tentative="1">
      <w:start w:val="1"/>
      <w:numFmt w:val="lowerRoman"/>
      <w:lvlText w:val="%6."/>
      <w:lvlJc w:val="right"/>
      <w:pPr>
        <w:ind w:left="4242" w:hanging="180"/>
      </w:pPr>
    </w:lvl>
    <w:lvl w:ilvl="6" w:tplc="400A000F" w:tentative="1">
      <w:start w:val="1"/>
      <w:numFmt w:val="decimal"/>
      <w:lvlText w:val="%7."/>
      <w:lvlJc w:val="left"/>
      <w:pPr>
        <w:ind w:left="4962" w:hanging="360"/>
      </w:pPr>
    </w:lvl>
    <w:lvl w:ilvl="7" w:tplc="400A0019" w:tentative="1">
      <w:start w:val="1"/>
      <w:numFmt w:val="lowerLetter"/>
      <w:lvlText w:val="%8."/>
      <w:lvlJc w:val="left"/>
      <w:pPr>
        <w:ind w:left="5682" w:hanging="360"/>
      </w:pPr>
    </w:lvl>
    <w:lvl w:ilvl="8" w:tplc="400A001B" w:tentative="1">
      <w:start w:val="1"/>
      <w:numFmt w:val="lowerRoman"/>
      <w:lvlText w:val="%9."/>
      <w:lvlJc w:val="right"/>
      <w:pPr>
        <w:ind w:left="6402" w:hanging="180"/>
      </w:pPr>
    </w:lvl>
  </w:abstractNum>
  <w:abstractNum w:abstractNumId="17" w15:restartNumberingAfterBreak="0">
    <w:nsid w:val="69D85929"/>
    <w:multiLevelType w:val="hybridMultilevel"/>
    <w:tmpl w:val="3FAAA5F0"/>
    <w:lvl w:ilvl="0" w:tplc="400A000F">
      <w:start w:val="1"/>
      <w:numFmt w:val="decimal"/>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8" w15:restartNumberingAfterBreak="0">
    <w:nsid w:val="69FD692A"/>
    <w:multiLevelType w:val="hybridMultilevel"/>
    <w:tmpl w:val="68947BA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6C2C3457"/>
    <w:multiLevelType w:val="hybridMultilevel"/>
    <w:tmpl w:val="527849E8"/>
    <w:lvl w:ilvl="0" w:tplc="400A0001">
      <w:start w:val="1"/>
      <w:numFmt w:val="bullet"/>
      <w:lvlText w:val=""/>
      <w:lvlJc w:val="left"/>
      <w:pPr>
        <w:ind w:left="1985" w:hanging="360"/>
      </w:pPr>
      <w:rPr>
        <w:rFonts w:ascii="Symbol" w:hAnsi="Symbol" w:hint="default"/>
      </w:rPr>
    </w:lvl>
    <w:lvl w:ilvl="1" w:tplc="400A0001">
      <w:start w:val="1"/>
      <w:numFmt w:val="bullet"/>
      <w:lvlText w:val=""/>
      <w:lvlJc w:val="left"/>
      <w:pPr>
        <w:ind w:left="2765" w:hanging="420"/>
      </w:pPr>
      <w:rPr>
        <w:rFonts w:ascii="Symbol" w:hAnsi="Symbol" w:hint="default"/>
      </w:rPr>
    </w:lvl>
    <w:lvl w:ilvl="2" w:tplc="400A0005" w:tentative="1">
      <w:start w:val="1"/>
      <w:numFmt w:val="bullet"/>
      <w:lvlText w:val=""/>
      <w:lvlJc w:val="left"/>
      <w:pPr>
        <w:ind w:left="3425" w:hanging="360"/>
      </w:pPr>
      <w:rPr>
        <w:rFonts w:ascii="Wingdings" w:hAnsi="Wingdings" w:hint="default"/>
      </w:rPr>
    </w:lvl>
    <w:lvl w:ilvl="3" w:tplc="400A0001" w:tentative="1">
      <w:start w:val="1"/>
      <w:numFmt w:val="bullet"/>
      <w:lvlText w:val=""/>
      <w:lvlJc w:val="left"/>
      <w:pPr>
        <w:ind w:left="4145" w:hanging="360"/>
      </w:pPr>
      <w:rPr>
        <w:rFonts w:ascii="Symbol" w:hAnsi="Symbol" w:hint="default"/>
      </w:rPr>
    </w:lvl>
    <w:lvl w:ilvl="4" w:tplc="400A0003" w:tentative="1">
      <w:start w:val="1"/>
      <w:numFmt w:val="bullet"/>
      <w:lvlText w:val="o"/>
      <w:lvlJc w:val="left"/>
      <w:pPr>
        <w:ind w:left="4865" w:hanging="360"/>
      </w:pPr>
      <w:rPr>
        <w:rFonts w:ascii="Courier New" w:hAnsi="Courier New" w:cs="Courier New" w:hint="default"/>
      </w:rPr>
    </w:lvl>
    <w:lvl w:ilvl="5" w:tplc="400A0005" w:tentative="1">
      <w:start w:val="1"/>
      <w:numFmt w:val="bullet"/>
      <w:lvlText w:val=""/>
      <w:lvlJc w:val="left"/>
      <w:pPr>
        <w:ind w:left="5585" w:hanging="360"/>
      </w:pPr>
      <w:rPr>
        <w:rFonts w:ascii="Wingdings" w:hAnsi="Wingdings" w:hint="default"/>
      </w:rPr>
    </w:lvl>
    <w:lvl w:ilvl="6" w:tplc="400A0001" w:tentative="1">
      <w:start w:val="1"/>
      <w:numFmt w:val="bullet"/>
      <w:lvlText w:val=""/>
      <w:lvlJc w:val="left"/>
      <w:pPr>
        <w:ind w:left="6305" w:hanging="360"/>
      </w:pPr>
      <w:rPr>
        <w:rFonts w:ascii="Symbol" w:hAnsi="Symbol" w:hint="default"/>
      </w:rPr>
    </w:lvl>
    <w:lvl w:ilvl="7" w:tplc="400A0003" w:tentative="1">
      <w:start w:val="1"/>
      <w:numFmt w:val="bullet"/>
      <w:lvlText w:val="o"/>
      <w:lvlJc w:val="left"/>
      <w:pPr>
        <w:ind w:left="7025" w:hanging="360"/>
      </w:pPr>
      <w:rPr>
        <w:rFonts w:ascii="Courier New" w:hAnsi="Courier New" w:cs="Courier New" w:hint="default"/>
      </w:rPr>
    </w:lvl>
    <w:lvl w:ilvl="8" w:tplc="400A0005" w:tentative="1">
      <w:start w:val="1"/>
      <w:numFmt w:val="bullet"/>
      <w:lvlText w:val=""/>
      <w:lvlJc w:val="left"/>
      <w:pPr>
        <w:ind w:left="7745" w:hanging="360"/>
      </w:pPr>
      <w:rPr>
        <w:rFonts w:ascii="Wingdings" w:hAnsi="Wingdings" w:hint="default"/>
      </w:rPr>
    </w:lvl>
  </w:abstractNum>
  <w:abstractNum w:abstractNumId="20" w15:restartNumberingAfterBreak="0">
    <w:nsid w:val="6E2D7446"/>
    <w:multiLevelType w:val="hybridMultilevel"/>
    <w:tmpl w:val="05B42AC8"/>
    <w:lvl w:ilvl="0" w:tplc="400A000F">
      <w:start w:val="1"/>
      <w:numFmt w:val="decimal"/>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21" w15:restartNumberingAfterBreak="0">
    <w:nsid w:val="704B36EA"/>
    <w:multiLevelType w:val="multilevel"/>
    <w:tmpl w:val="D53CF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777CF8"/>
    <w:multiLevelType w:val="hybridMultilevel"/>
    <w:tmpl w:val="1BBC5042"/>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23" w15:restartNumberingAfterBreak="0">
    <w:nsid w:val="7E2B05C0"/>
    <w:multiLevelType w:val="hybridMultilevel"/>
    <w:tmpl w:val="8DA479CA"/>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2"/>
  </w:num>
  <w:num w:numId="4">
    <w:abstractNumId w:val="10"/>
  </w:num>
  <w:num w:numId="5">
    <w:abstractNumId w:val="3"/>
  </w:num>
  <w:num w:numId="6">
    <w:abstractNumId w:val="1"/>
  </w:num>
  <w:num w:numId="7">
    <w:abstractNumId w:val="20"/>
  </w:num>
  <w:num w:numId="8">
    <w:abstractNumId w:val="17"/>
  </w:num>
  <w:num w:numId="9">
    <w:abstractNumId w:val="21"/>
  </w:num>
  <w:num w:numId="10">
    <w:abstractNumId w:val="18"/>
  </w:num>
  <w:num w:numId="11">
    <w:abstractNumId w:val="6"/>
  </w:num>
  <w:num w:numId="12">
    <w:abstractNumId w:val="11"/>
  </w:num>
  <w:num w:numId="13">
    <w:abstractNumId w:val="5"/>
  </w:num>
  <w:num w:numId="14">
    <w:abstractNumId w:val="19"/>
  </w:num>
  <w:num w:numId="15">
    <w:abstractNumId w:val="23"/>
  </w:num>
  <w:num w:numId="16">
    <w:abstractNumId w:val="13"/>
  </w:num>
  <w:num w:numId="17">
    <w:abstractNumId w:val="14"/>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22"/>
  </w:num>
  <w:num w:numId="23">
    <w:abstractNumId w:val="16"/>
  </w:num>
  <w:num w:numId="24">
    <w:abstractNumId w:val="0"/>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659"/>
    <w:rsid w:val="0000495C"/>
    <w:rsid w:val="0001441E"/>
    <w:rsid w:val="0003673E"/>
    <w:rsid w:val="00066DF8"/>
    <w:rsid w:val="000670C4"/>
    <w:rsid w:val="000713D9"/>
    <w:rsid w:val="000729B1"/>
    <w:rsid w:val="000A3681"/>
    <w:rsid w:val="000B2E72"/>
    <w:rsid w:val="000E6FDC"/>
    <w:rsid w:val="001246B2"/>
    <w:rsid w:val="00142306"/>
    <w:rsid w:val="00171CB4"/>
    <w:rsid w:val="0018145E"/>
    <w:rsid w:val="00194E5A"/>
    <w:rsid w:val="001E326E"/>
    <w:rsid w:val="001E6E3C"/>
    <w:rsid w:val="00254F6F"/>
    <w:rsid w:val="002975E2"/>
    <w:rsid w:val="002B0821"/>
    <w:rsid w:val="002C1107"/>
    <w:rsid w:val="002C3343"/>
    <w:rsid w:val="002D7603"/>
    <w:rsid w:val="002E3ADA"/>
    <w:rsid w:val="00304096"/>
    <w:rsid w:val="00351686"/>
    <w:rsid w:val="003552DA"/>
    <w:rsid w:val="00385404"/>
    <w:rsid w:val="003868E0"/>
    <w:rsid w:val="003A0779"/>
    <w:rsid w:val="003D0740"/>
    <w:rsid w:val="003F3886"/>
    <w:rsid w:val="00411EB1"/>
    <w:rsid w:val="00452F5C"/>
    <w:rsid w:val="00496D1B"/>
    <w:rsid w:val="004A083F"/>
    <w:rsid w:val="004C1E68"/>
    <w:rsid w:val="004C23A4"/>
    <w:rsid w:val="004C2D5F"/>
    <w:rsid w:val="004D718D"/>
    <w:rsid w:val="004D7BDB"/>
    <w:rsid w:val="004F2AFB"/>
    <w:rsid w:val="00520B93"/>
    <w:rsid w:val="00531CD4"/>
    <w:rsid w:val="00542722"/>
    <w:rsid w:val="00561A4D"/>
    <w:rsid w:val="00574518"/>
    <w:rsid w:val="005841A9"/>
    <w:rsid w:val="00586331"/>
    <w:rsid w:val="005941E2"/>
    <w:rsid w:val="005A0769"/>
    <w:rsid w:val="005F4AEC"/>
    <w:rsid w:val="00601E19"/>
    <w:rsid w:val="00603844"/>
    <w:rsid w:val="00604178"/>
    <w:rsid w:val="0061000E"/>
    <w:rsid w:val="006107DC"/>
    <w:rsid w:val="00611594"/>
    <w:rsid w:val="0062425D"/>
    <w:rsid w:val="00627E0D"/>
    <w:rsid w:val="0063031A"/>
    <w:rsid w:val="006573B8"/>
    <w:rsid w:val="00666355"/>
    <w:rsid w:val="006C16DF"/>
    <w:rsid w:val="006C3496"/>
    <w:rsid w:val="006E52FE"/>
    <w:rsid w:val="00705886"/>
    <w:rsid w:val="00707BFE"/>
    <w:rsid w:val="007129CF"/>
    <w:rsid w:val="00734366"/>
    <w:rsid w:val="00753320"/>
    <w:rsid w:val="00784AD8"/>
    <w:rsid w:val="007A42D5"/>
    <w:rsid w:val="007A6750"/>
    <w:rsid w:val="007D48BF"/>
    <w:rsid w:val="007D4E23"/>
    <w:rsid w:val="007F0E71"/>
    <w:rsid w:val="008004D1"/>
    <w:rsid w:val="00801E0F"/>
    <w:rsid w:val="00834200"/>
    <w:rsid w:val="008505FA"/>
    <w:rsid w:val="00850B3D"/>
    <w:rsid w:val="008704CA"/>
    <w:rsid w:val="00875F33"/>
    <w:rsid w:val="00877477"/>
    <w:rsid w:val="00877B03"/>
    <w:rsid w:val="008C612A"/>
    <w:rsid w:val="008E58C2"/>
    <w:rsid w:val="008F1501"/>
    <w:rsid w:val="0091016E"/>
    <w:rsid w:val="0094543A"/>
    <w:rsid w:val="009A32B1"/>
    <w:rsid w:val="009E0C88"/>
    <w:rsid w:val="009F3C63"/>
    <w:rsid w:val="009F5C7B"/>
    <w:rsid w:val="00A04217"/>
    <w:rsid w:val="00A14EA5"/>
    <w:rsid w:val="00A26C22"/>
    <w:rsid w:val="00A42659"/>
    <w:rsid w:val="00A45D92"/>
    <w:rsid w:val="00A539DC"/>
    <w:rsid w:val="00A6355A"/>
    <w:rsid w:val="00A80408"/>
    <w:rsid w:val="00A95B2B"/>
    <w:rsid w:val="00AD3D68"/>
    <w:rsid w:val="00AE3637"/>
    <w:rsid w:val="00B05273"/>
    <w:rsid w:val="00B05AD4"/>
    <w:rsid w:val="00B06F42"/>
    <w:rsid w:val="00B16731"/>
    <w:rsid w:val="00B220A4"/>
    <w:rsid w:val="00B32CD7"/>
    <w:rsid w:val="00B4733D"/>
    <w:rsid w:val="00B54902"/>
    <w:rsid w:val="00B60B88"/>
    <w:rsid w:val="00B74311"/>
    <w:rsid w:val="00B778A9"/>
    <w:rsid w:val="00B91800"/>
    <w:rsid w:val="00BB1D62"/>
    <w:rsid w:val="00BB3BB6"/>
    <w:rsid w:val="00BD735F"/>
    <w:rsid w:val="00BE448A"/>
    <w:rsid w:val="00C142BC"/>
    <w:rsid w:val="00C237F7"/>
    <w:rsid w:val="00C467EA"/>
    <w:rsid w:val="00C628DE"/>
    <w:rsid w:val="00C65FAA"/>
    <w:rsid w:val="00C66F4A"/>
    <w:rsid w:val="00C75AD5"/>
    <w:rsid w:val="00C80FA0"/>
    <w:rsid w:val="00C90649"/>
    <w:rsid w:val="00CA4873"/>
    <w:rsid w:val="00CB14DC"/>
    <w:rsid w:val="00CB6A05"/>
    <w:rsid w:val="00CC1B2D"/>
    <w:rsid w:val="00CC3D8D"/>
    <w:rsid w:val="00CC665D"/>
    <w:rsid w:val="00D06D2B"/>
    <w:rsid w:val="00D22E2F"/>
    <w:rsid w:val="00D50D08"/>
    <w:rsid w:val="00D61EC3"/>
    <w:rsid w:val="00D92B2E"/>
    <w:rsid w:val="00DB1B9F"/>
    <w:rsid w:val="00DB62D8"/>
    <w:rsid w:val="00DF208E"/>
    <w:rsid w:val="00E13B18"/>
    <w:rsid w:val="00E2520B"/>
    <w:rsid w:val="00E577C7"/>
    <w:rsid w:val="00E90432"/>
    <w:rsid w:val="00EA2FAC"/>
    <w:rsid w:val="00EC181F"/>
    <w:rsid w:val="00EC2B7A"/>
    <w:rsid w:val="00EC35A5"/>
    <w:rsid w:val="00EE5875"/>
    <w:rsid w:val="00F402C9"/>
    <w:rsid w:val="00F91F12"/>
    <w:rsid w:val="00FA4614"/>
    <w:rsid w:val="00FB2650"/>
    <w:rsid w:val="00FC2A6D"/>
    <w:rsid w:val="00FC5954"/>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4E381F-A87F-443E-84D5-2CA865064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659"/>
    <w:rPr>
      <w:rFonts w:eastAsiaTheme="minorEastAsia"/>
      <w:lang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42659"/>
    <w:pPr>
      <w:ind w:left="720"/>
      <w:contextualSpacing/>
    </w:pPr>
  </w:style>
  <w:style w:type="paragraph" w:styleId="Textodeglobo">
    <w:name w:val="Balloon Text"/>
    <w:basedOn w:val="Normal"/>
    <w:link w:val="TextodegloboCar"/>
    <w:uiPriority w:val="99"/>
    <w:semiHidden/>
    <w:unhideWhenUsed/>
    <w:rsid w:val="00A4265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2659"/>
    <w:rPr>
      <w:rFonts w:ascii="Tahoma" w:eastAsiaTheme="minorEastAsia" w:hAnsi="Tahoma" w:cs="Tahoma"/>
      <w:sz w:val="16"/>
      <w:szCs w:val="16"/>
      <w:lang w:eastAsia="es-BO"/>
    </w:rPr>
  </w:style>
  <w:style w:type="paragraph" w:styleId="Sinespaciado">
    <w:name w:val="No Spacing"/>
    <w:uiPriority w:val="1"/>
    <w:qFormat/>
    <w:rsid w:val="00601E19"/>
    <w:pPr>
      <w:spacing w:after="0" w:line="240" w:lineRule="auto"/>
    </w:pPr>
    <w:rPr>
      <w:lang w:val="es-ES"/>
    </w:rPr>
  </w:style>
  <w:style w:type="table" w:styleId="Tablaconcuadrcula">
    <w:name w:val="Table Grid"/>
    <w:basedOn w:val="Tablanormal"/>
    <w:uiPriority w:val="59"/>
    <w:rsid w:val="00EE5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32CD7"/>
    <w:pPr>
      <w:spacing w:before="100" w:beforeAutospacing="1" w:after="100" w:afterAutospacing="1" w:line="240" w:lineRule="auto"/>
    </w:pPr>
    <w:rPr>
      <w:rFonts w:ascii="Times New Roman" w:eastAsia="Times New Roman" w:hAnsi="Times New Roman" w:cs="Times New Roman"/>
      <w:sz w:val="24"/>
      <w:szCs w:val="24"/>
    </w:rPr>
  </w:style>
  <w:style w:type="paragraph" w:styleId="Textoindependiente">
    <w:name w:val="Body Text"/>
    <w:basedOn w:val="Normal"/>
    <w:link w:val="TextoindependienteCar"/>
    <w:uiPriority w:val="99"/>
    <w:unhideWhenUsed/>
    <w:rsid w:val="00B54902"/>
    <w:pPr>
      <w:spacing w:after="120"/>
    </w:pPr>
  </w:style>
  <w:style w:type="character" w:customStyle="1" w:styleId="TextoindependienteCar">
    <w:name w:val="Texto independiente Car"/>
    <w:basedOn w:val="Fuentedeprrafopredeter"/>
    <w:link w:val="Textoindependiente"/>
    <w:uiPriority w:val="99"/>
    <w:rsid w:val="00B54902"/>
    <w:rPr>
      <w:rFonts w:eastAsiaTheme="minorEastAsia"/>
      <w:lang w:eastAsia="es-BO"/>
    </w:rPr>
  </w:style>
  <w:style w:type="paragraph" w:customStyle="1" w:styleId="bodytext21">
    <w:name w:val="bodytext21"/>
    <w:basedOn w:val="Normal"/>
    <w:rsid w:val="00B54902"/>
    <w:pPr>
      <w:snapToGrid w:val="0"/>
      <w:spacing w:after="0" w:line="240" w:lineRule="auto"/>
      <w:jc w:val="both"/>
    </w:pPr>
    <w:rPr>
      <w:rFonts w:ascii="Times New Roman" w:eastAsia="Times New Roman" w:hAnsi="Times New Roman" w:cs="Times New Roman"/>
      <w:spacing w:val="-3"/>
      <w:sz w:val="24"/>
      <w:szCs w:val="24"/>
      <w:lang w:eastAsia="es-ES"/>
    </w:rPr>
  </w:style>
  <w:style w:type="paragraph" w:styleId="Sangra2detindependiente">
    <w:name w:val="Body Text Indent 2"/>
    <w:basedOn w:val="Normal"/>
    <w:link w:val="Sangra2detindependienteCar"/>
    <w:uiPriority w:val="99"/>
    <w:unhideWhenUsed/>
    <w:rsid w:val="00B5490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54902"/>
    <w:rPr>
      <w:rFonts w:eastAsiaTheme="minorEastAsia"/>
      <w:lang w:eastAsia="es-BO"/>
    </w:rPr>
  </w:style>
  <w:style w:type="paragraph" w:styleId="Lista">
    <w:name w:val="List"/>
    <w:basedOn w:val="Normal"/>
    <w:uiPriority w:val="99"/>
    <w:rsid w:val="00B54902"/>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customStyle="1" w:styleId="document1">
    <w:name w:val="document1"/>
    <w:basedOn w:val="Normal"/>
    <w:rsid w:val="00B54902"/>
    <w:pPr>
      <w:keepNext/>
      <w:spacing w:after="0" w:line="240" w:lineRule="auto"/>
    </w:pPr>
    <w:rPr>
      <w:rFonts w:ascii="Courier New" w:eastAsia="Calibri"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26776">
      <w:bodyDiv w:val="1"/>
      <w:marLeft w:val="0"/>
      <w:marRight w:val="0"/>
      <w:marTop w:val="0"/>
      <w:marBottom w:val="0"/>
      <w:divBdr>
        <w:top w:val="none" w:sz="0" w:space="0" w:color="auto"/>
        <w:left w:val="none" w:sz="0" w:space="0" w:color="auto"/>
        <w:bottom w:val="none" w:sz="0" w:space="0" w:color="auto"/>
        <w:right w:val="none" w:sz="0" w:space="0" w:color="auto"/>
      </w:divBdr>
    </w:div>
    <w:div w:id="1587962464">
      <w:bodyDiv w:val="1"/>
      <w:marLeft w:val="0"/>
      <w:marRight w:val="0"/>
      <w:marTop w:val="0"/>
      <w:marBottom w:val="0"/>
      <w:divBdr>
        <w:top w:val="none" w:sz="0" w:space="0" w:color="auto"/>
        <w:left w:val="none" w:sz="0" w:space="0" w:color="auto"/>
        <w:bottom w:val="none" w:sz="0" w:space="0" w:color="auto"/>
        <w:right w:val="none" w:sz="0" w:space="0" w:color="auto"/>
      </w:divBdr>
      <w:divsChild>
        <w:div w:id="2585524">
          <w:marLeft w:val="0"/>
          <w:marRight w:val="0"/>
          <w:marTop w:val="0"/>
          <w:marBottom w:val="0"/>
          <w:divBdr>
            <w:top w:val="none" w:sz="0" w:space="0" w:color="auto"/>
            <w:left w:val="none" w:sz="0" w:space="0" w:color="auto"/>
            <w:bottom w:val="none" w:sz="0" w:space="0" w:color="auto"/>
            <w:right w:val="none" w:sz="0" w:space="0" w:color="auto"/>
          </w:divBdr>
          <w:divsChild>
            <w:div w:id="757405764">
              <w:marLeft w:val="0"/>
              <w:marRight w:val="0"/>
              <w:marTop w:val="0"/>
              <w:marBottom w:val="0"/>
              <w:divBdr>
                <w:top w:val="none" w:sz="0" w:space="0" w:color="auto"/>
                <w:left w:val="none" w:sz="0" w:space="0" w:color="auto"/>
                <w:bottom w:val="none" w:sz="0" w:space="0" w:color="auto"/>
                <w:right w:val="none" w:sz="0" w:space="0" w:color="auto"/>
              </w:divBdr>
              <w:divsChild>
                <w:div w:id="5024022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54048017">
                      <w:marLeft w:val="0"/>
                      <w:marRight w:val="0"/>
                      <w:marTop w:val="0"/>
                      <w:marBottom w:val="0"/>
                      <w:divBdr>
                        <w:top w:val="none" w:sz="0" w:space="0" w:color="auto"/>
                        <w:left w:val="none" w:sz="0" w:space="0" w:color="auto"/>
                        <w:bottom w:val="none" w:sz="0" w:space="0" w:color="auto"/>
                        <w:right w:val="none" w:sz="0" w:space="0" w:color="auto"/>
                      </w:divBdr>
                      <w:divsChild>
                        <w:div w:id="1805153983">
                          <w:marLeft w:val="0"/>
                          <w:marRight w:val="0"/>
                          <w:marTop w:val="0"/>
                          <w:marBottom w:val="0"/>
                          <w:divBdr>
                            <w:top w:val="none" w:sz="0" w:space="0" w:color="auto"/>
                            <w:left w:val="none" w:sz="0" w:space="0" w:color="auto"/>
                            <w:bottom w:val="none" w:sz="0" w:space="0" w:color="auto"/>
                            <w:right w:val="none" w:sz="0" w:space="0" w:color="auto"/>
                          </w:divBdr>
                          <w:divsChild>
                            <w:div w:id="1885211528">
                              <w:marLeft w:val="0"/>
                              <w:marRight w:val="0"/>
                              <w:marTop w:val="0"/>
                              <w:marBottom w:val="0"/>
                              <w:divBdr>
                                <w:top w:val="none" w:sz="0" w:space="0" w:color="auto"/>
                                <w:left w:val="none" w:sz="0" w:space="0" w:color="auto"/>
                                <w:bottom w:val="none" w:sz="0" w:space="0" w:color="auto"/>
                                <w:right w:val="none" w:sz="0" w:space="0" w:color="auto"/>
                              </w:divBdr>
                              <w:divsChild>
                                <w:div w:id="879820816">
                                  <w:marLeft w:val="0"/>
                                  <w:marRight w:val="0"/>
                                  <w:marTop w:val="0"/>
                                  <w:marBottom w:val="0"/>
                                  <w:divBdr>
                                    <w:top w:val="none" w:sz="0" w:space="0" w:color="auto"/>
                                    <w:left w:val="none" w:sz="0" w:space="0" w:color="auto"/>
                                    <w:bottom w:val="none" w:sz="0" w:space="0" w:color="auto"/>
                                    <w:right w:val="none" w:sz="0" w:space="0" w:color="auto"/>
                                  </w:divBdr>
                                  <w:divsChild>
                                    <w:div w:id="3200387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78063683">
                                          <w:marLeft w:val="0"/>
                                          <w:marRight w:val="0"/>
                                          <w:marTop w:val="0"/>
                                          <w:marBottom w:val="0"/>
                                          <w:divBdr>
                                            <w:top w:val="none" w:sz="0" w:space="0" w:color="auto"/>
                                            <w:left w:val="none" w:sz="0" w:space="0" w:color="auto"/>
                                            <w:bottom w:val="none" w:sz="0" w:space="0" w:color="auto"/>
                                            <w:right w:val="none" w:sz="0" w:space="0" w:color="auto"/>
                                          </w:divBdr>
                                          <w:divsChild>
                                            <w:div w:id="6962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1231517">
      <w:bodyDiv w:val="1"/>
      <w:marLeft w:val="0"/>
      <w:marRight w:val="0"/>
      <w:marTop w:val="0"/>
      <w:marBottom w:val="0"/>
      <w:divBdr>
        <w:top w:val="none" w:sz="0" w:space="0" w:color="auto"/>
        <w:left w:val="none" w:sz="0" w:space="0" w:color="auto"/>
        <w:bottom w:val="none" w:sz="0" w:space="0" w:color="auto"/>
        <w:right w:val="none" w:sz="0" w:space="0" w:color="auto"/>
      </w:divBdr>
    </w:div>
    <w:div w:id="197999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1521</Words>
  <Characters>8369</Characters>
  <Application>Microsoft Office Word</Application>
  <DocSecurity>4</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CSBP</Company>
  <LinksUpToDate>false</LinksUpToDate>
  <CharactersWithSpaces>9871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Cossio</dc:creator>
  <cp:lastModifiedBy>MARIA PATRICIA ZUAZO NISTTAHUZ</cp:lastModifiedBy>
  <cp:revision>2</cp:revision>
  <cp:lastPrinted>2019-10-02T18:21:00Z</cp:lastPrinted>
  <dcterms:created xsi:type="dcterms:W3CDTF">2021-08-20T14:46:00Z</dcterms:created>
  <dcterms:modified xsi:type="dcterms:W3CDTF">2021-08-20T14:46:00Z</dcterms:modified>
</cp:coreProperties>
</file>