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6C3946F6"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04ADA">
                              <w:rPr>
                                <w:b/>
                                <w:color w:val="000000" w:themeColor="text1"/>
                              </w:rPr>
                              <w:t>12</w:t>
                            </w:r>
                            <w:r w:rsidR="00146A0C">
                              <w:rPr>
                                <w:b/>
                                <w:color w:val="000000" w:themeColor="text1"/>
                              </w:rPr>
                              <w:t>B</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6C3946F6"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04ADA">
                        <w:rPr>
                          <w:b/>
                          <w:color w:val="000000" w:themeColor="text1"/>
                        </w:rPr>
                        <w:t>12</w:t>
                      </w:r>
                      <w:r w:rsidR="00146A0C">
                        <w:rPr>
                          <w:b/>
                          <w:color w:val="000000" w:themeColor="text1"/>
                        </w:rPr>
                        <w:t>B</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1E619A54"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904ADA" w:rsidRPr="00904ADA">
        <w:rPr>
          <w:rFonts w:ascii="Arial" w:hAnsi="Arial" w:cs="Arial"/>
          <w:b/>
          <w:lang w:val="es-ES"/>
        </w:rPr>
        <w:t>MANTENIMIENTO DE ASCENSORES DE REGIONAL LA PAZ</w:t>
      </w:r>
    </w:p>
    <w:p w14:paraId="6B4B357C" w14:textId="7A515E27" w:rsidR="00381BAC" w:rsidRDefault="00146A0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SEGUNDA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71CD4D8D"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904ADA" w:rsidRPr="00904ADA">
        <w:rPr>
          <w:rFonts w:ascii="Arial" w:eastAsiaTheme="minorHAnsi" w:hAnsi="Arial" w:cs="Arial"/>
          <w:bCs/>
          <w:sz w:val="22"/>
          <w:szCs w:val="22"/>
          <w:lang w:val="es-ES" w:eastAsia="en-US"/>
        </w:rPr>
        <w:t>MANTENIMIENTO DE ASCENSORES DE REGIONAL LA PAZ</w:t>
      </w:r>
      <w:r w:rsidR="00302A67" w:rsidRPr="00302A67">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146A0C">
        <w:rPr>
          <w:rFonts w:ascii="Arial" w:eastAsiaTheme="minorHAnsi" w:hAnsi="Arial" w:cs="Arial"/>
          <w:bCs/>
          <w:sz w:val="22"/>
          <w:szCs w:val="22"/>
          <w:lang w:val="es-ES" w:eastAsia="en-US"/>
        </w:rPr>
        <w:t>SEGUNDA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696A35D3"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146A0C">
        <w:rPr>
          <w:rFonts w:ascii="Arial" w:hAnsi="Arial" w:cs="Arial"/>
        </w:rPr>
        <w:t>elizabeth.miranda</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146A0C">
        <w:rPr>
          <w:rFonts w:ascii="Arial" w:hAnsi="Arial" w:cs="Arial"/>
        </w:rPr>
        <w:t>5</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146A0C">
        <w:rPr>
          <w:rFonts w:ascii="Arial" w:hAnsi="Arial" w:cs="Arial"/>
        </w:rPr>
        <w:t>miércoles 13 de mayo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3AFDEDCE"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146A0C">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04CF35A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 xml:space="preserve">Se aplicará la multa del </w:t>
      </w:r>
      <w:r w:rsidR="00146A0C">
        <w:rPr>
          <w:rFonts w:ascii="Arial" w:hAnsi="Arial" w:cs="Arial"/>
        </w:rPr>
        <w:t>2</w:t>
      </w:r>
      <w:r w:rsidR="00E14AC5" w:rsidRPr="00E14AC5">
        <w:rPr>
          <w:rFonts w:ascii="Arial" w:hAnsi="Arial" w:cs="Arial"/>
        </w:rPr>
        <w:t xml:space="preserve">% del monto total adjudicado por cada día de retraso en la entrega. El total de las multas no podrá exceder en ningún caso el </w:t>
      </w:r>
      <w:r w:rsidR="00146A0C">
        <w:rPr>
          <w:rFonts w:ascii="Arial" w:hAnsi="Arial" w:cs="Arial"/>
        </w:rPr>
        <w:t>veinte</w:t>
      </w:r>
      <w:r w:rsidR="00E14AC5" w:rsidRPr="00E14AC5">
        <w:rPr>
          <w:rFonts w:ascii="Arial" w:hAnsi="Arial" w:cs="Arial"/>
        </w:rPr>
        <w:t xml:space="preserve"> (</w:t>
      </w:r>
      <w:r w:rsidR="00146A0C">
        <w:rPr>
          <w:rFonts w:ascii="Arial" w:hAnsi="Arial" w:cs="Arial"/>
        </w:rPr>
        <w:t>2</w:t>
      </w:r>
      <w:r w:rsidR="00E14AC5" w:rsidRPr="00E14AC5">
        <w:rPr>
          <w:rFonts w:ascii="Arial" w:hAnsi="Arial" w:cs="Arial"/>
        </w:rPr>
        <w:t>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6A7C34E1" w:rsidR="0084268D" w:rsidRPr="00E14AC5" w:rsidRDefault="00146A0C" w:rsidP="00A50CA3">
            <w:pPr>
              <w:jc w:val="center"/>
              <w:rPr>
                <w:rFonts w:ascii="Arial" w:hAnsi="Arial" w:cs="Arial"/>
                <w:sz w:val="18"/>
                <w:szCs w:val="18"/>
              </w:rPr>
            </w:pPr>
            <w:r>
              <w:rPr>
                <w:rFonts w:ascii="Arial" w:hAnsi="Arial" w:cs="Arial"/>
                <w:sz w:val="18"/>
                <w:szCs w:val="18"/>
              </w:rPr>
              <w:t>08/05</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5C4E997C" w:rsidR="0084268D" w:rsidRPr="00E14AC5" w:rsidRDefault="00146A0C" w:rsidP="00A50CA3">
            <w:pPr>
              <w:jc w:val="center"/>
              <w:rPr>
                <w:rFonts w:ascii="Arial" w:hAnsi="Arial" w:cs="Arial"/>
                <w:sz w:val="18"/>
                <w:szCs w:val="18"/>
              </w:rPr>
            </w:pPr>
            <w:r>
              <w:rPr>
                <w:rFonts w:ascii="Arial" w:hAnsi="Arial" w:cs="Arial"/>
                <w:sz w:val="18"/>
                <w:szCs w:val="18"/>
              </w:rPr>
              <w:t>13/05</w:t>
            </w:r>
            <w:r w:rsidR="00E5429D">
              <w:rPr>
                <w:rFonts w:ascii="Arial" w:hAnsi="Arial" w:cs="Arial"/>
                <w:sz w:val="18"/>
                <w:szCs w:val="18"/>
              </w:rPr>
              <w:t>/2026</w:t>
            </w:r>
          </w:p>
        </w:tc>
        <w:tc>
          <w:tcPr>
            <w:tcW w:w="1338" w:type="dxa"/>
            <w:vAlign w:val="center"/>
          </w:tcPr>
          <w:p w14:paraId="42CBFEA5" w14:textId="13C7A44F" w:rsidR="0084268D" w:rsidRPr="00E14AC5" w:rsidRDefault="00146A0C" w:rsidP="00A50CA3">
            <w:pPr>
              <w:jc w:val="center"/>
              <w:rPr>
                <w:rFonts w:ascii="Arial" w:hAnsi="Arial" w:cs="Arial"/>
                <w:sz w:val="18"/>
                <w:szCs w:val="18"/>
              </w:rPr>
            </w:pPr>
            <w:r>
              <w:rPr>
                <w:rFonts w:ascii="Arial" w:hAnsi="Arial" w:cs="Arial"/>
                <w:sz w:val="18"/>
                <w:szCs w:val="18"/>
              </w:rPr>
              <w:t>15</w:t>
            </w:r>
            <w:r w:rsidR="00495016">
              <w:rPr>
                <w:rFonts w:ascii="Arial" w:hAnsi="Arial" w:cs="Arial"/>
                <w:sz w:val="18"/>
                <w:szCs w:val="18"/>
              </w:rPr>
              <w:t>:00</w:t>
            </w:r>
          </w:p>
        </w:tc>
        <w:tc>
          <w:tcPr>
            <w:tcW w:w="3119" w:type="dxa"/>
            <w:vAlign w:val="center"/>
          </w:tcPr>
          <w:p w14:paraId="26F4CF24" w14:textId="53A3007A" w:rsidR="0084268D" w:rsidRPr="00E14AC5" w:rsidRDefault="00146A0C" w:rsidP="00A50CA3">
            <w:pPr>
              <w:jc w:val="center"/>
              <w:rPr>
                <w:rFonts w:ascii="Arial" w:hAnsi="Arial" w:cs="Arial"/>
                <w:sz w:val="18"/>
                <w:szCs w:val="18"/>
              </w:rPr>
            </w:pPr>
            <w:r>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5E0CE465" w:rsidR="0084268D" w:rsidRPr="00E14AC5" w:rsidRDefault="00146A0C" w:rsidP="00A50CA3">
            <w:pPr>
              <w:jc w:val="center"/>
              <w:rPr>
                <w:rFonts w:ascii="Arial" w:hAnsi="Arial" w:cs="Arial"/>
                <w:sz w:val="18"/>
                <w:szCs w:val="18"/>
              </w:rPr>
            </w:pPr>
            <w:r>
              <w:rPr>
                <w:rFonts w:ascii="Arial" w:hAnsi="Arial" w:cs="Arial"/>
                <w:sz w:val="18"/>
                <w:szCs w:val="18"/>
              </w:rPr>
              <w:t>13/05/</w:t>
            </w:r>
            <w:r w:rsidR="00E5429D">
              <w:rPr>
                <w:rFonts w:ascii="Arial" w:hAnsi="Arial" w:cs="Arial"/>
                <w:sz w:val="18"/>
                <w:szCs w:val="18"/>
              </w:rPr>
              <w:t>2026</w:t>
            </w:r>
          </w:p>
        </w:tc>
        <w:tc>
          <w:tcPr>
            <w:tcW w:w="1338" w:type="dxa"/>
            <w:vAlign w:val="center"/>
          </w:tcPr>
          <w:p w14:paraId="632F5685" w14:textId="648388DF" w:rsidR="0084268D" w:rsidRPr="00E14AC5" w:rsidRDefault="00146A0C" w:rsidP="00146A0C">
            <w:pPr>
              <w:jc w:val="center"/>
              <w:rPr>
                <w:rFonts w:ascii="Arial" w:hAnsi="Arial" w:cs="Arial"/>
                <w:sz w:val="18"/>
                <w:szCs w:val="18"/>
              </w:rPr>
            </w:pPr>
            <w:r>
              <w:rPr>
                <w:rFonts w:ascii="Arial" w:hAnsi="Arial" w:cs="Arial"/>
                <w:sz w:val="18"/>
                <w:szCs w:val="18"/>
              </w:rPr>
              <w:t>15</w:t>
            </w:r>
            <w:r w:rsidR="00E5429D">
              <w:rPr>
                <w:rFonts w:ascii="Arial" w:hAnsi="Arial" w:cs="Arial"/>
                <w:sz w:val="18"/>
                <w:szCs w:val="18"/>
              </w:rPr>
              <w:t>:</w:t>
            </w:r>
            <w:r>
              <w:rPr>
                <w:rFonts w:ascii="Arial" w:hAnsi="Arial" w:cs="Arial"/>
                <w:sz w:val="18"/>
                <w:szCs w:val="18"/>
              </w:rPr>
              <w:t>2</w:t>
            </w:r>
            <w:r w:rsidR="00E5429D">
              <w:rPr>
                <w:rFonts w:ascii="Arial" w:hAnsi="Arial" w:cs="Arial"/>
                <w:sz w:val="18"/>
                <w:szCs w:val="18"/>
              </w:rPr>
              <w:t>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5E424B96" w:rsidR="0084268D" w:rsidRPr="00E14AC5" w:rsidRDefault="00146A0C" w:rsidP="00A50CA3">
            <w:pPr>
              <w:jc w:val="center"/>
              <w:rPr>
                <w:rFonts w:ascii="Arial" w:hAnsi="Arial" w:cs="Arial"/>
                <w:sz w:val="18"/>
                <w:szCs w:val="18"/>
              </w:rPr>
            </w:pPr>
            <w:r>
              <w:rPr>
                <w:rFonts w:ascii="Arial" w:hAnsi="Arial" w:cs="Arial"/>
                <w:sz w:val="18"/>
                <w:szCs w:val="18"/>
              </w:rPr>
              <w:t>20/05</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1FDE1E04"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w:t>
      </w:r>
      <w:r w:rsidR="00146A0C">
        <w:rPr>
          <w:rFonts w:ascii="Arial" w:hAnsi="Arial" w:cs="Arial"/>
          <w:sz w:val="20"/>
          <w:szCs w:val="20"/>
        </w:rPr>
        <w:t>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62E7D3DB"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904ADA">
        <w:rPr>
          <w:rFonts w:ascii="Arial" w:hAnsi="Arial" w:cs="Arial"/>
          <w:sz w:val="20"/>
          <w:szCs w:val="20"/>
        </w:rPr>
        <w:t xml:space="preserve">, </w:t>
      </w:r>
      <w:r w:rsidR="00146A0C">
        <w:rPr>
          <w:rFonts w:ascii="Arial" w:hAnsi="Arial" w:cs="Arial"/>
          <w:sz w:val="20"/>
          <w:szCs w:val="20"/>
        </w:rPr>
        <w:t>mayo</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D8AA" w14:textId="77777777" w:rsidR="003E0460" w:rsidRDefault="003E0460" w:rsidP="003518DA">
      <w:r>
        <w:separator/>
      </w:r>
    </w:p>
  </w:endnote>
  <w:endnote w:type="continuationSeparator" w:id="0">
    <w:p w14:paraId="7AB22A39" w14:textId="77777777" w:rsidR="003E0460" w:rsidRDefault="003E046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0E33" w14:textId="77777777" w:rsidR="003E0460" w:rsidRDefault="003E0460" w:rsidP="003518DA">
      <w:r>
        <w:separator/>
      </w:r>
    </w:p>
  </w:footnote>
  <w:footnote w:type="continuationSeparator" w:id="0">
    <w:p w14:paraId="0B60D009" w14:textId="77777777" w:rsidR="003E0460" w:rsidRDefault="003E046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46A0C"/>
    <w:rsid w:val="00155D22"/>
    <w:rsid w:val="00186D11"/>
    <w:rsid w:val="001A1E5C"/>
    <w:rsid w:val="001A6AE5"/>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0460"/>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40CA"/>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04ADA"/>
    <w:rsid w:val="009159D3"/>
    <w:rsid w:val="00932CE6"/>
    <w:rsid w:val="009330BF"/>
    <w:rsid w:val="0093463C"/>
    <w:rsid w:val="00941C00"/>
    <w:rsid w:val="00952D11"/>
    <w:rsid w:val="00956736"/>
    <w:rsid w:val="00987563"/>
    <w:rsid w:val="009A03C9"/>
    <w:rsid w:val="009B52E4"/>
    <w:rsid w:val="009B54DD"/>
    <w:rsid w:val="009B6D4C"/>
    <w:rsid w:val="009C2D94"/>
    <w:rsid w:val="009F0BF8"/>
    <w:rsid w:val="009F0D1C"/>
    <w:rsid w:val="009F1141"/>
    <w:rsid w:val="00A27ED7"/>
    <w:rsid w:val="00A36BAB"/>
    <w:rsid w:val="00A46493"/>
    <w:rsid w:val="00A53767"/>
    <w:rsid w:val="00A60545"/>
    <w:rsid w:val="00A6753F"/>
    <w:rsid w:val="00A83AEE"/>
    <w:rsid w:val="00AB03DC"/>
    <w:rsid w:val="00AB5386"/>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1718D"/>
    <w:rsid w:val="00D44D4B"/>
    <w:rsid w:val="00D6079F"/>
    <w:rsid w:val="00D66344"/>
    <w:rsid w:val="00D720DA"/>
    <w:rsid w:val="00D75B13"/>
    <w:rsid w:val="00D93C84"/>
    <w:rsid w:val="00DE203C"/>
    <w:rsid w:val="00DE360B"/>
    <w:rsid w:val="00DF1946"/>
    <w:rsid w:val="00DF2D83"/>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582</Words>
  <Characters>3205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2026-05-07T20:22:00Z</dcterms:created>
  <dcterms:modified xsi:type="dcterms:W3CDTF">2026-05-07T20:22:00Z</dcterms:modified>
</cp:coreProperties>
</file>